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480" w:after="240"/>
        <w:rPr/>
      </w:pPr>
      <w:r>
        <w:rPr>
          <w:color w:val="000000"/>
        </w:rPr>
        <w:t>Koncepcia dlhodobej starostlivosti na Slovensku ako prienik zdravotnej a sociálnej starostlivosti</w:t>
      </w:r>
    </w:p>
    <w:p>
      <w:pPr>
        <w:pStyle w:val="Heading2"/>
        <w:numPr>
          <w:ilvl w:val="1"/>
          <w:numId w:val="3"/>
        </w:numPr>
        <w:spacing w:lineRule="auto" w:line="360"/>
        <w:rPr/>
      </w:pPr>
      <w:r>
        <w:rPr/>
        <w:t>Úvod</w:t>
      </w:r>
    </w:p>
    <w:p>
      <w:pPr>
        <w:pStyle w:val="Normal"/>
        <w:spacing w:lineRule="auto" w:line="360"/>
        <w:ind w:firstLine="360"/>
        <w:jc w:val="both"/>
        <w:rPr/>
      </w:pPr>
      <w:r>
        <w:rPr/>
        <w:t xml:space="preserve">Základom koncepcie dlhodobej starostlivosti v rámci financovania je zavedenie nového </w:t>
      </w:r>
      <w:r>
        <w:rPr>
          <w:rFonts w:eastAsia="Calibri" w:cs="" w:cstheme="minorBidi" w:eastAsiaTheme="minorHAnsi"/>
          <w:color w:val="auto"/>
          <w:kern w:val="0"/>
          <w:sz w:val="24"/>
          <w:szCs w:val="22"/>
          <w:lang w:val="sk-SK" w:eastAsia="en-US" w:bidi="ar-SA"/>
        </w:rPr>
        <w:t>fondu odkázanosti, ktorý bude komplexne financovať dlhodobú starostlivosť</w:t>
      </w:r>
      <w:r>
        <w:rPr/>
        <w:t>. Tento sme koncipovali rovnako, ako je v Nemecku, na úrovni 1,5 % hrubej mzdy. Zároveň so zvyšovaním odvodového zaťaženia uvažujeme o znížení dane z príjmu na 18,5 %. Toto zníženie kompenzuje nižšie povinnosti obcí a VÚC v oblasti dlhodobej starostlivosti. Zároveň sa ukotví preplácanie všetkých ošetrovateľských výkonov zo zdravotných poisťovní tak, ako je to pri poskytovateľoch zdravotnej starostlivosti.</w:t>
      </w:r>
    </w:p>
    <w:p>
      <w:pPr>
        <w:pStyle w:val="Heading2"/>
        <w:numPr>
          <w:ilvl w:val="1"/>
          <w:numId w:val="3"/>
        </w:numPr>
        <w:spacing w:lineRule="auto" w:line="360"/>
        <w:rPr/>
      </w:pPr>
      <w:r>
        <w:rPr/>
        <w:t>Základné ukazovatele v rámci dlhodobej starostlivosti na Slovensku</w:t>
      </w:r>
    </w:p>
    <w:tbl>
      <w:tblPr>
        <w:tblW w:w="754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5314"/>
        <w:gridCol w:w="2225"/>
      </w:tblGrid>
      <w:tr>
        <w:trPr>
          <w:trHeight w:val="330" w:hRule="atLeast"/>
        </w:trPr>
        <w:tc>
          <w:tcPr>
            <w:tcW w:w="5314" w:type="dxa"/>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Poskytovatelia sociálnych služieb – 4. kvartál 2019</w:t>
            </w:r>
          </w:p>
        </w:tc>
        <w:tc>
          <w:tcPr>
            <w:tcW w:w="2225" w:type="dxa"/>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r>
          </w:p>
        </w:tc>
      </w:tr>
      <w:tr>
        <w:trPr>
          <w:trHeight w:val="384" w:hRule="atLeast"/>
        </w:trPr>
        <w:tc>
          <w:tcPr>
            <w:tcW w:w="531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Poskytovatelia zriadení alebo založení vyšším územným celkom</w:t>
            </w:r>
          </w:p>
        </w:tc>
        <w:tc>
          <w:tcPr>
            <w:tcW w:w="222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697</w:t>
            </w:r>
          </w:p>
        </w:tc>
      </w:tr>
      <w:tr>
        <w:trPr>
          <w:trHeight w:val="420" w:hRule="atLeast"/>
        </w:trPr>
        <w:tc>
          <w:tcPr>
            <w:tcW w:w="531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Obce a poskytovatelia zriadení alebo založení obcou</w:t>
            </w:r>
          </w:p>
        </w:tc>
        <w:tc>
          <w:tcPr>
            <w:tcW w:w="2225"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2 316</w:t>
            </w:r>
          </w:p>
        </w:tc>
      </w:tr>
      <w:tr>
        <w:trPr>
          <w:trHeight w:val="330" w:hRule="atLeast"/>
        </w:trPr>
        <w:tc>
          <w:tcPr>
            <w:tcW w:w="531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Neverejní poskytovatelia</w:t>
            </w:r>
          </w:p>
        </w:tc>
        <w:tc>
          <w:tcPr>
            <w:tcW w:w="2225"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2 439</w:t>
            </w:r>
          </w:p>
        </w:tc>
      </w:tr>
      <w:tr>
        <w:trPr>
          <w:trHeight w:val="330" w:hRule="atLeast"/>
        </w:trPr>
        <w:tc>
          <w:tcPr>
            <w:tcW w:w="531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Spolu</w:t>
            </w:r>
          </w:p>
        </w:tc>
        <w:tc>
          <w:tcPr>
            <w:tcW w:w="2225"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5 452</w:t>
            </w:r>
          </w:p>
        </w:tc>
      </w:tr>
    </w:tbl>
    <w:p>
      <w:pPr>
        <w:pStyle w:val="Normal"/>
        <w:spacing w:lineRule="auto" w:line="360"/>
        <w:rPr/>
      </w:pPr>
      <w:r>
        <w:rPr/>
      </w:r>
    </w:p>
    <w:p>
      <w:pPr>
        <w:pStyle w:val="Normal"/>
        <w:spacing w:lineRule="auto" w:line="360"/>
        <w:rPr/>
      </w:pPr>
      <w:r>
        <w:rPr>
          <w:rFonts w:cs="Times New Roman"/>
          <w:szCs w:val="24"/>
        </w:rPr>
        <w:t>Graf 1 Poskytovatelia sociálnych služieb</w:t>
      </w:r>
      <w:r>
        <w:rPr/>
        <w:drawing>
          <wp:inline distT="0" distB="0" distL="0" distR="0">
            <wp:extent cx="5145405" cy="2181225"/>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360"/>
        <w:rPr/>
      </w:pPr>
      <w:r>
        <w:rPr>
          <w:rFonts w:cs="Times New Roman"/>
          <w:sz w:val="18"/>
          <w:szCs w:val="18"/>
        </w:rPr>
        <w:t>Zdroj: Centrálny register poskytovateľov sociálnych služieb za IV.Q 2019.</w:t>
      </w:r>
    </w:p>
    <w:p>
      <w:pPr>
        <w:pStyle w:val="Normal"/>
        <w:spacing w:lineRule="auto" w:line="360"/>
        <w:jc w:val="both"/>
        <w:rPr>
          <w:rFonts w:cs="Times New Roman"/>
          <w:szCs w:val="24"/>
        </w:rPr>
      </w:pPr>
      <w:r>
        <w:rPr>
          <w:rFonts w:cs="Times New Roman"/>
          <w:szCs w:val="24"/>
        </w:rPr>
        <w:t>Poskytovatelia sociálnych služieb sú v zmysle štruktúry z roku 2019 pomerne rovnomerne rozdelení medzi zriaďovateľskou pôsobnosťou VÚC a mestami a obcami. Nízky počet neverejných poskytovateľov súvisí najmä s nedostatkom financií v systéme, nakoľko dopyt prijímateľov po poskytovateľoch existuje, avšak nemá ho kto poskytnúť.</w:t>
      </w:r>
    </w:p>
    <w:p>
      <w:pPr>
        <w:pStyle w:val="Normal"/>
        <w:spacing w:lineRule="auto" w:line="360"/>
        <w:rPr/>
      </w:pPr>
      <w:r>
        <w:rPr>
          <w:rFonts w:cs="Times New Roman"/>
          <w:szCs w:val="24"/>
        </w:rPr>
        <w:t>Poskytovatelia sociálnych služieb podľa typu poskytovateľa a sociálnych služieb:</w:t>
      </w:r>
    </w:p>
    <w:tbl>
      <w:tblPr>
        <w:tblStyle w:val="Mriekatabuky"/>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388"/>
        <w:gridCol w:w="1618"/>
        <w:gridCol w:w="1394"/>
        <w:gridCol w:w="1661"/>
      </w:tblGrid>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szCs w:val="24"/>
              </w:rPr>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 xml:space="preserve">zriadení VÚC </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zriadení obcou</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neverejní poskytovatelia</w:t>
            </w:r>
          </w:p>
        </w:tc>
      </w:tr>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Sociálne poradenstvo a rehabilitácia</w:t>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14</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11</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369</w:t>
            </w:r>
          </w:p>
        </w:tc>
      </w:tr>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Služby krízovej intervencie</w:t>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26</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381</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347</w:t>
            </w:r>
          </w:p>
        </w:tc>
      </w:tr>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Služby na podporu rodiny s deťmi</w:t>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30</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48</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256</w:t>
            </w:r>
          </w:p>
        </w:tc>
      </w:tr>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Služby pre osoby s ŤZP a nepriaznivým zdravotným stavom</w:t>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600</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1 427</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1 360</w:t>
            </w:r>
          </w:p>
        </w:tc>
      </w:tr>
      <w:tr>
        <w:trPr>
          <w:trHeight w:val="330" w:hRule="atLeast"/>
        </w:trPr>
        <w:tc>
          <w:tcPr>
            <w:tcW w:w="438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Služby IKT a podporné služby</w:t>
            </w:r>
          </w:p>
        </w:tc>
        <w:tc>
          <w:tcPr>
            <w:tcW w:w="1618"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27</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449</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107</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5274310" cy="263842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spacing w:lineRule="auto" w:line="360"/>
        <w:rPr/>
      </w:pPr>
      <w:r>
        <w:rPr>
          <w:rFonts w:cs="Times New Roman"/>
          <w:sz w:val="20"/>
          <w:szCs w:val="20"/>
        </w:rPr>
        <w:t>Zdroj: Centrálny register poskytovateľov sociálnych služieb za IV.Q 2019.</w:t>
      </w:r>
    </w:p>
    <w:p>
      <w:pPr>
        <w:pStyle w:val="Normal"/>
        <w:widowControl w:val="false"/>
        <w:spacing w:lineRule="auto" w:line="360" w:before="0" w:after="0"/>
        <w:jc w:val="both"/>
        <w:rPr>
          <w:rFonts w:eastAsia="Calibri" w:cs="Times New Roman"/>
          <w:szCs w:val="24"/>
        </w:rPr>
      </w:pPr>
      <w:r>
        <w:rPr>
          <w:rFonts w:eastAsia="Calibri" w:cs="Times New Roman"/>
          <w:szCs w:val="24"/>
        </w:rPr>
        <w:t>V rámci p</w:t>
      </w:r>
      <w:r>
        <w:rPr>
          <w:rFonts w:cs="Times New Roman"/>
          <w:szCs w:val="24"/>
        </w:rPr>
        <w:t>oskytovateľov sociálnych služieb podľa typu poskytovateľa a sociálnych služieb</w:t>
      </w:r>
      <w:r>
        <w:rPr>
          <w:rFonts w:eastAsia="Calibri" w:cs="Times New Roman"/>
          <w:szCs w:val="24"/>
        </w:rPr>
        <w:t xml:space="preserve"> je najvyšší dopyt po službách pre osoby s ŤZP a nepriaznivým zdravotným stavom. V týchto službách dominujú neverejní poskytovatelia, ktorí sa zameriavajú na túto kategóriu služieb, o ktorú je najväčší záujem.</w:t>
      </w:r>
    </w:p>
    <w:p>
      <w:pPr>
        <w:pStyle w:val="Normal"/>
        <w:spacing w:lineRule="auto" w:line="360"/>
        <w:rPr/>
      </w:pPr>
      <w:r>
        <w:rPr>
          <w:rFonts w:cs="Times New Roman"/>
          <w:szCs w:val="24"/>
        </w:rPr>
        <w:t>Kapacity zariadení sociálnych služieb podmienených odkázanosťou na pomoc inej osoby:</w:t>
      </w:r>
    </w:p>
    <w:tbl>
      <w:tblPr>
        <w:tblStyle w:val="Mriekatabuky"/>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21"/>
        <w:gridCol w:w="3156"/>
        <w:gridCol w:w="1685"/>
      </w:tblGrid>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Počet miest v zariadeniach v rokoch 2017 a 2018</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szCs w:val="24"/>
              </w:rPr>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szCs w:val="24"/>
              </w:rPr>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b/>
                <w:b/>
                <w:bCs/>
                <w:szCs w:val="24"/>
              </w:rPr>
            </w:pPr>
            <w:r>
              <w:rPr>
                <w:rFonts w:eastAsia="Calibri" w:cs="Times New Roman"/>
                <w:b/>
                <w:bCs/>
                <w:kern w:val="0"/>
                <w:szCs w:val="24"/>
                <w:lang w:val="sk-SK" w:eastAsia="en-US" w:bidi="ar-SA"/>
              </w:rPr>
              <w:t> </w:t>
            </w:r>
          </w:p>
        </w:tc>
        <w:tc>
          <w:tcPr>
            <w:tcW w:w="3156" w:type="dxa"/>
            <w:tcBorders/>
          </w:tcPr>
          <w:p>
            <w:pPr>
              <w:pStyle w:val="Normal"/>
              <w:widowControl w:val="false"/>
              <w:suppressAutoHyphens w:val="true"/>
              <w:spacing w:lineRule="auto" w:line="360" w:before="0" w:after="0"/>
              <w:jc w:val="left"/>
              <w:rPr>
                <w:rFonts w:eastAsia="Calibri" w:cs="Times New Roman"/>
                <w:b/>
                <w:b/>
                <w:bCs/>
                <w:szCs w:val="24"/>
              </w:rPr>
            </w:pPr>
            <w:r>
              <w:rPr>
                <w:rFonts w:eastAsia="Calibri" w:cs="Times New Roman"/>
                <w:b/>
                <w:bCs/>
                <w:kern w:val="0"/>
                <w:szCs w:val="24"/>
                <w:lang w:val="sk-SK" w:eastAsia="en-US" w:bidi="ar-SA"/>
              </w:rPr>
              <w:t>2017</w:t>
            </w:r>
          </w:p>
        </w:tc>
        <w:tc>
          <w:tcPr>
            <w:tcW w:w="1685" w:type="dxa"/>
            <w:tcBorders/>
          </w:tcPr>
          <w:p>
            <w:pPr>
              <w:pStyle w:val="Normal"/>
              <w:widowControl w:val="false"/>
              <w:suppressAutoHyphens w:val="true"/>
              <w:spacing w:lineRule="auto" w:line="360" w:before="0" w:after="0"/>
              <w:jc w:val="left"/>
              <w:rPr>
                <w:rFonts w:eastAsia="Calibri" w:cs="Times New Roman"/>
                <w:b/>
                <w:b/>
                <w:bCs/>
                <w:szCs w:val="24"/>
              </w:rPr>
            </w:pPr>
            <w:r>
              <w:rPr>
                <w:rFonts w:eastAsia="Calibri" w:cs="Times New Roman"/>
                <w:b/>
                <w:bCs/>
                <w:kern w:val="0"/>
                <w:szCs w:val="24"/>
                <w:lang w:val="sk-SK" w:eastAsia="en-US" w:bidi="ar-SA"/>
              </w:rPr>
              <w:t>2018</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domov sociálnych služieb</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13 273</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12 971</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pre seniorov</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18 467</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19 129</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špecializované zariadenie</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6 860</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7 537</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denný stacionár</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5 357</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4 128</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podporovaného bývania</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566</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573</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núdzového bývania</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654</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665</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útulok</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1 997</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2 222</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rehabilitačné stredisko</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571</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669</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opatrovateľskej služby</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2 388</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2 513</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nocľaháreň</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1 088</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1 228</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domov na polceste</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255</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271</w:t>
            </w:r>
          </w:p>
        </w:tc>
      </w:tr>
      <w:tr>
        <w:trPr>
          <w:trHeight w:val="330" w:hRule="atLeast"/>
        </w:trPr>
        <w:tc>
          <w:tcPr>
            <w:tcW w:w="422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spolu</w:t>
            </w:r>
          </w:p>
        </w:tc>
        <w:tc>
          <w:tcPr>
            <w:tcW w:w="315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51 476</w:t>
            </w:r>
          </w:p>
        </w:tc>
        <w:tc>
          <w:tcPr>
            <w:tcW w:w="1685"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51 906</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5262245" cy="38100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spacing w:lineRule="auto" w:line="360"/>
        <w:rPr/>
      </w:pPr>
      <w:r>
        <w:rPr>
          <w:rFonts w:cs="Times New Roman"/>
          <w:sz w:val="20"/>
          <w:szCs w:val="20"/>
        </w:rPr>
        <w:t>Zdroj: Vybrané údaje ŠÚ SR – Zariadenia sociálnych služieb v SR.</w:t>
      </w:r>
    </w:p>
    <w:p>
      <w:pPr>
        <w:pStyle w:val="Normal"/>
        <w:spacing w:lineRule="auto" w:line="360"/>
        <w:jc w:val="both"/>
        <w:rPr>
          <w:rFonts w:cs="Times New Roman"/>
          <w:szCs w:val="24"/>
        </w:rPr>
      </w:pPr>
      <w:r>
        <w:rPr>
          <w:rFonts w:cs="Times New Roman"/>
          <w:szCs w:val="24"/>
        </w:rPr>
        <w:t>V rozdelení podľa kapacity zariadení sociálnych služieb podmienených odkázanosťou na pomoc inej osoby je najvyšší počet zariadení pre seniorov a </w:t>
      </w:r>
      <w:r>
        <w:rPr>
          <w:rFonts w:eastAsia="Calibri" w:cs="Times New Roman"/>
          <w:szCs w:val="24"/>
        </w:rPr>
        <w:t>domov sociálnych služieb. Nízky počet zariadení opatrovateľskej služby nie je kvôli nezáujmu, ale kvôli nedostatku financií.</w:t>
      </w:r>
    </w:p>
    <w:p>
      <w:pPr>
        <w:pStyle w:val="Normal"/>
        <w:spacing w:lineRule="auto" w:line="360"/>
        <w:rPr>
          <w:rFonts w:cs="Times New Roman"/>
          <w:szCs w:val="24"/>
        </w:rPr>
      </w:pPr>
      <w:r>
        <w:rPr>
          <w:rFonts w:cs="Times New Roman"/>
          <w:szCs w:val="24"/>
        </w:rPr>
      </w:r>
    </w:p>
    <w:p>
      <w:pPr>
        <w:pStyle w:val="Normal"/>
        <w:spacing w:lineRule="auto" w:line="360"/>
        <w:rPr/>
      </w:pPr>
      <w:r>
        <w:rPr>
          <w:rFonts w:cs="Times New Roman"/>
          <w:szCs w:val="24"/>
        </w:rPr>
        <w:t>Veková štruktúra prijímateľov sociálnej služby v zariadeniach:</w:t>
      </w:r>
    </w:p>
    <w:tbl>
      <w:tblPr>
        <w:tblW w:w="754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4319"/>
        <w:gridCol w:w="3220"/>
      </w:tblGrid>
      <w:tr>
        <w:trPr>
          <w:trHeight w:val="330" w:hRule="atLeast"/>
        </w:trPr>
        <w:tc>
          <w:tcPr>
            <w:tcW w:w="43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Veková skupina</w:t>
            </w:r>
          </w:p>
        </w:tc>
        <w:tc>
          <w:tcPr>
            <w:tcW w:w="3220"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Počet prijímateľov</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0 – 18 rokov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689</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19 – 39 rokov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4 711</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40 – 62 rokov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7 269</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63 – 79 rokov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15 558</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nad 80 rokov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17 475</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Spolu</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45 702</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4643120" cy="317881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lineRule="auto" w:line="360"/>
        <w:rPr/>
      </w:pPr>
      <w:r>
        <w:rPr>
          <w:rFonts w:cs="Times New Roman"/>
          <w:sz w:val="20"/>
          <w:szCs w:val="20"/>
        </w:rPr>
        <w:t>Zdroj: Vybrané údaje ŠÚ SR – Zariadenia sociálnych služieb v SR.</w:t>
      </w:r>
    </w:p>
    <w:p>
      <w:pPr>
        <w:pStyle w:val="Normal"/>
        <w:spacing w:lineRule="auto" w:line="360"/>
        <w:jc w:val="both"/>
        <w:rPr>
          <w:rFonts w:cs="Times New Roman"/>
          <w:sz w:val="20"/>
          <w:szCs w:val="20"/>
        </w:rPr>
      </w:pPr>
      <w:r>
        <w:rPr>
          <w:rFonts w:cs="Times New Roman"/>
          <w:szCs w:val="24"/>
        </w:rPr>
        <w:t>V rámci vekovej štruktúry prijímateľov sociálnej služby v zariadeniach je najvyšší podiel obyvateľov nad 80 rokov. Ich počet a podiel sa bude postupne so starnutím populácie a vyššou dĺžkou dožitia obyvateľov postupne zvyšovať, treba sa preto na ňu zamerať.</w:t>
      </w:r>
    </w:p>
    <w:p>
      <w:pPr>
        <w:pStyle w:val="Normal"/>
        <w:spacing w:lineRule="auto" w:line="360"/>
        <w:rPr/>
      </w:pPr>
      <w:r>
        <w:rPr>
          <w:rFonts w:cs="Times New Roman"/>
          <w:szCs w:val="24"/>
        </w:rPr>
        <w:t>Počet miest/klientov podľa formy poskytovanej sociálnej služby:</w:t>
      </w:r>
    </w:p>
    <w:tbl>
      <w:tblPr>
        <w:tblStyle w:val="Mriekatabuky"/>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83"/>
        <w:gridCol w:w="3823"/>
        <w:gridCol w:w="1394"/>
        <w:gridCol w:w="1661"/>
      </w:tblGrid>
      <w:tr>
        <w:trPr>
          <w:trHeight w:val="330" w:hRule="atLeast"/>
        </w:trPr>
        <w:tc>
          <w:tcPr>
            <w:tcW w:w="218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szCs w:val="24"/>
              </w:rPr>
            </w:r>
          </w:p>
        </w:tc>
        <w:tc>
          <w:tcPr>
            <w:tcW w:w="382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pobytová</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ambulantná</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terénna</w:t>
            </w:r>
          </w:p>
        </w:tc>
      </w:tr>
      <w:tr>
        <w:trPr>
          <w:trHeight w:val="330" w:hRule="atLeast"/>
        </w:trPr>
        <w:tc>
          <w:tcPr>
            <w:tcW w:w="218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2016</w:t>
            </w:r>
          </w:p>
        </w:tc>
        <w:tc>
          <w:tcPr>
            <w:tcW w:w="382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40 278</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5 689</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17 057</w:t>
            </w:r>
          </w:p>
        </w:tc>
      </w:tr>
      <w:tr>
        <w:trPr>
          <w:trHeight w:val="330" w:hRule="atLeast"/>
        </w:trPr>
        <w:tc>
          <w:tcPr>
            <w:tcW w:w="218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2017</w:t>
            </w:r>
          </w:p>
        </w:tc>
        <w:tc>
          <w:tcPr>
            <w:tcW w:w="382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39 725</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7 757</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15 994</w:t>
            </w:r>
          </w:p>
        </w:tc>
      </w:tr>
      <w:tr>
        <w:trPr>
          <w:trHeight w:val="330" w:hRule="atLeast"/>
        </w:trPr>
        <w:tc>
          <w:tcPr>
            <w:tcW w:w="218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2018</w:t>
            </w:r>
          </w:p>
        </w:tc>
        <w:tc>
          <w:tcPr>
            <w:tcW w:w="3823"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40 838</w:t>
            </w:r>
          </w:p>
        </w:tc>
        <w:tc>
          <w:tcPr>
            <w:tcW w:w="139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6 682</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16 124</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4982845" cy="1731010"/>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Normal"/>
        <w:spacing w:lineRule="auto" w:line="360"/>
        <w:rPr/>
      </w:pPr>
      <w:r>
        <w:rPr>
          <w:rFonts w:cs="Times New Roman"/>
          <w:szCs w:val="24"/>
        </w:rPr>
        <w:t>Zd</w:t>
      </w:r>
      <w:r>
        <w:rPr>
          <w:rFonts w:cs="Times New Roman"/>
          <w:sz w:val="20"/>
          <w:szCs w:val="20"/>
        </w:rPr>
        <w:t>roj: Vybrané údaje ŠÚ SR – Zariadenia sociálnych služieb v SR a V(MPSVR SR) 11-01.</w:t>
      </w:r>
    </w:p>
    <w:p>
      <w:pPr>
        <w:pStyle w:val="Normal"/>
        <w:spacing w:lineRule="auto" w:line="360"/>
        <w:jc w:val="both"/>
        <w:rPr/>
      </w:pPr>
      <w:r>
        <w:rPr>
          <w:rFonts w:cs="Times New Roman"/>
          <w:szCs w:val="24"/>
        </w:rPr>
        <w:t xml:space="preserve">Podľa formy poskytovanej sociálnej služby prevažuje v súčasnosti pobytová forma. Po zmene systému financovania zavedením príspevku ako štátnej </w:t>
      </w:r>
      <w:r>
        <w:rPr>
          <w:rFonts w:cs="Times New Roman"/>
          <w:sz w:val="24"/>
          <w:szCs w:val="24"/>
        </w:rPr>
        <w:t>dávk</w:t>
      </w:r>
      <w:r>
        <w:rPr>
          <w:rFonts w:cs="Times New Roman"/>
          <w:szCs w:val="24"/>
        </w:rPr>
        <w:t>y očakávame dramatickú zmenu v štruktúre podľa formy poskytovanej sociálnej služby.</w:t>
      </w:r>
    </w:p>
    <w:p>
      <w:pPr>
        <w:pStyle w:val="Normal"/>
        <w:spacing w:lineRule="auto" w:line="360"/>
        <w:rPr/>
      </w:pPr>
      <w:r>
        <w:rPr>
          <w:rFonts w:cs="Times New Roman"/>
          <w:szCs w:val="24"/>
        </w:rPr>
        <w:t>Štruktúra prijímateľov sociálnych služieb podľa stupňa odkázanosti:</w:t>
      </w:r>
    </w:p>
    <w:p>
      <w:pPr>
        <w:pStyle w:val="Normal"/>
        <w:spacing w:lineRule="auto" w:line="360"/>
        <w:jc w:val="both"/>
        <w:rPr/>
      </w:pPr>
      <w:r>
        <w:rPr>
          <w:rFonts w:cs="Times New Roman"/>
          <w:szCs w:val="24"/>
        </w:rPr>
        <w:t xml:space="preserve">V rámci štruktúry počtu prijímateľov podľa počtu je podľa našich odhadov potrebné počítať s viac ako 20-tisíc potencionálnymi prijímateľmi. Na základe verejne dostupných údajov je pri porovnávaní počtu diagnóz, ktoré môžu byť kvalifikované ako diagnózy v rámci dlhodobej starostlivosti a počtu odkázaných v sledovanom období, v priemere až </w:t>
      </w:r>
      <w:r>
        <w:rPr>
          <w:rStyle w:val="ZvraznencitciaChar"/>
        </w:rPr>
        <w:t>20-tisíc potencionálnych prijímateľov mimo systému súčasných sociálnych služieb</w:t>
      </w:r>
      <w:r>
        <w:rPr>
          <w:rFonts w:cs="Times New Roman"/>
          <w:szCs w:val="24"/>
        </w:rPr>
        <w:t>.</w:t>
      </w:r>
    </w:p>
    <w:p>
      <w:pPr>
        <w:pStyle w:val="Normal"/>
        <w:spacing w:lineRule="auto" w:line="360"/>
        <w:rPr>
          <w:rFonts w:cs="Times New Roman"/>
          <w:szCs w:val="24"/>
        </w:rPr>
      </w:pPr>
      <w:r>
        <w:rPr>
          <w:rFonts w:cs="Times New Roman"/>
          <w:szCs w:val="24"/>
        </w:rPr>
      </w:r>
    </w:p>
    <w:tbl>
      <w:tblPr>
        <w:tblW w:w="754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4319"/>
        <w:gridCol w:w="3220"/>
      </w:tblGrid>
      <w:tr>
        <w:trPr>
          <w:trHeight w:val="330" w:hRule="atLeast"/>
        </w:trPr>
        <w:tc>
          <w:tcPr>
            <w:tcW w:w="4319" w:type="dxa"/>
            <w:tcBorders/>
            <w:shd w:color="auto" w:fill="auto" w:val="clear"/>
            <w:vAlign w:val="bottom"/>
          </w:tcPr>
          <w:p>
            <w:pPr>
              <w:pStyle w:val="Normal"/>
              <w:widowControl w:val="false"/>
              <w:spacing w:lineRule="auto" w:line="360" w:before="0" w:after="0"/>
              <w:rPr>
                <w:rFonts w:eastAsia="Times New Roman" w:cs="Times New Roman"/>
                <w:sz w:val="20"/>
                <w:szCs w:val="24"/>
                <w:lang w:eastAsia="sk-SK"/>
              </w:rPr>
            </w:pPr>
            <w:r>
              <w:rPr>
                <w:rFonts w:eastAsia="Times New Roman" w:cs="Times New Roman"/>
                <w:sz w:val="20"/>
                <w:szCs w:val="24"/>
                <w:lang w:eastAsia="sk-SK"/>
              </w:rPr>
            </w:r>
          </w:p>
        </w:tc>
        <w:tc>
          <w:tcPr>
            <w:tcW w:w="32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2019</w:t>
            </w:r>
          </w:p>
        </w:tc>
      </w:tr>
      <w:tr>
        <w:trPr>
          <w:trHeight w:val="330" w:hRule="atLeast"/>
        </w:trPr>
        <w:tc>
          <w:tcPr>
            <w:tcW w:w="431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sz w:val="22"/>
                <w:lang w:eastAsia="sk-SK"/>
              </w:rPr>
            </w:pPr>
            <w:r>
              <w:rPr>
                <w:rFonts w:eastAsia="Times New Roman" w:cs="Calibri" w:ascii="Arial Narrow" w:hAnsi="Arial Narrow"/>
                <w:b/>
                <w:bCs/>
                <w:sz w:val="22"/>
                <w:lang w:eastAsia="sk-SK"/>
              </w:rPr>
              <w:t>stupeň odkázanosti</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sz w:val="22"/>
                <w:lang w:eastAsia="sk-SK"/>
              </w:rPr>
            </w:pPr>
            <w:r>
              <w:rPr>
                <w:rFonts w:eastAsia="Times New Roman" w:cs="Calibri" w:ascii="Arial Narrow" w:hAnsi="Arial Narrow"/>
                <w:b/>
                <w:bCs/>
                <w:sz w:val="22"/>
                <w:lang w:eastAsia="sk-SK"/>
              </w:rPr>
              <w:t>počet prijímateľov</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I.</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238</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II.</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3 338</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III.</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3 057</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IV.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9 940</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V.</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10 126</w:t>
            </w:r>
          </w:p>
        </w:tc>
      </w:tr>
      <w:tr>
        <w:trPr>
          <w:trHeight w:val="330" w:hRule="atLeast"/>
        </w:trPr>
        <w:tc>
          <w:tcPr>
            <w:tcW w:w="431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rPr>
                <w:rFonts w:ascii="Arial Narrow" w:hAnsi="Arial Narrow" w:eastAsia="Times New Roman" w:cs="Calibri"/>
                <w:sz w:val="22"/>
                <w:lang w:eastAsia="sk-SK"/>
              </w:rPr>
            </w:pPr>
            <w:r>
              <w:rPr>
                <w:rFonts w:eastAsia="Times New Roman" w:cs="Calibri" w:ascii="Arial Narrow" w:hAnsi="Arial Narrow"/>
                <w:sz w:val="22"/>
                <w:lang w:eastAsia="sk-SK"/>
              </w:rPr>
              <w:t>VI.</w:t>
            </w:r>
          </w:p>
        </w:tc>
        <w:tc>
          <w:tcPr>
            <w:tcW w:w="3220"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sz w:val="22"/>
                <w:lang w:eastAsia="sk-SK"/>
              </w:rPr>
            </w:pPr>
            <w:r>
              <w:rPr>
                <w:rFonts w:eastAsia="Times New Roman" w:cs="Calibri" w:ascii="Arial Narrow" w:hAnsi="Arial Narrow"/>
                <w:sz w:val="22"/>
                <w:lang w:eastAsia="sk-SK"/>
              </w:rPr>
              <w:t>30 603</w:t>
            </w:r>
          </w:p>
        </w:tc>
      </w:tr>
    </w:tbl>
    <w:p>
      <w:pPr>
        <w:pStyle w:val="Normal"/>
        <w:spacing w:lineRule="auto" w:line="360"/>
        <w:rPr/>
      </w:pPr>
      <w:r>
        <w:rPr/>
        <w:drawing>
          <wp:inline distT="0" distB="0" distL="0" distR="0">
            <wp:extent cx="5387340" cy="3425825"/>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spacing w:lineRule="auto" w:line="360"/>
        <w:rPr/>
      </w:pPr>
      <w:r>
        <w:rPr>
          <w:rFonts w:cs="Times New Roman"/>
          <w:sz w:val="20"/>
          <w:szCs w:val="20"/>
        </w:rPr>
        <w:t>Zdroj: Vybrané údaje ŠÚ SR – Zariadenia sociálnych služieb v SR a V(MPSVR SR) 11-01.</w:t>
      </w:r>
    </w:p>
    <w:p>
      <w:pPr>
        <w:pStyle w:val="Normal"/>
        <w:spacing w:lineRule="auto" w:line="360"/>
        <w:jc w:val="both"/>
        <w:rPr>
          <w:rFonts w:cs="Times New Roman"/>
          <w:szCs w:val="24"/>
        </w:rPr>
      </w:pPr>
      <w:r>
        <w:rPr>
          <w:rFonts w:cs="Times New Roman"/>
          <w:szCs w:val="24"/>
        </w:rPr>
        <w:t>V aktuálnej štruktúre prijímateľov sociálnych služieb podľa stupňa odkázanosti nie je zahrnutých cca 20-tisíc prijímateľov – čakateľov, ktorí majú nárok na poskytnutie sociálnej služby, avšak im z kapacitných dôvodov nie je poskytnutá.</w:t>
      </w:r>
    </w:p>
    <w:p>
      <w:pPr>
        <w:pStyle w:val="Normal"/>
        <w:spacing w:lineRule="auto" w:line="360"/>
        <w:rPr/>
      </w:pPr>
      <w:r>
        <w:rPr>
          <w:rFonts w:cs="Times New Roman"/>
          <w:szCs w:val="24"/>
        </w:rPr>
        <w:t>Celkové výdavky na sociálne služby:</w:t>
      </w:r>
    </w:p>
    <w:tbl>
      <w:tblPr>
        <w:tblStyle w:val="Mriekatabuky"/>
        <w:tblW w:w="906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680"/>
        <w:gridCol w:w="1846"/>
        <w:gridCol w:w="1874"/>
        <w:gridCol w:w="1661"/>
      </w:tblGrid>
      <w:tr>
        <w:trPr>
          <w:trHeight w:val="66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Výdavky na sociálne služby v eur</w:t>
            </w:r>
          </w:p>
        </w:tc>
        <w:tc>
          <w:tcPr>
            <w:tcW w:w="1846" w:type="dxa"/>
            <w:tcBorders/>
          </w:tcPr>
          <w:p>
            <w:pPr>
              <w:pStyle w:val="Normal"/>
              <w:widowControl w:val="false"/>
              <w:suppressAutoHyphens w:val="true"/>
              <w:spacing w:lineRule="auto" w:line="360" w:before="0" w:after="0"/>
              <w:jc w:val="center"/>
              <w:rPr>
                <w:rFonts w:eastAsia="Calibri" w:cs="Times New Roman"/>
                <w:b/>
                <w:b/>
                <w:bCs/>
                <w:szCs w:val="24"/>
              </w:rPr>
            </w:pPr>
            <w:r>
              <w:rPr>
                <w:rFonts w:eastAsia="Calibri" w:cs="Times New Roman"/>
                <w:b/>
                <w:bCs/>
                <w:kern w:val="0"/>
                <w:szCs w:val="24"/>
                <w:lang w:val="sk-SK" w:eastAsia="en-US" w:bidi="ar-SA"/>
              </w:rPr>
              <w:t>2016</w:t>
            </w:r>
          </w:p>
        </w:tc>
        <w:tc>
          <w:tcPr>
            <w:tcW w:w="1874" w:type="dxa"/>
            <w:tcBorders/>
          </w:tcPr>
          <w:p>
            <w:pPr>
              <w:pStyle w:val="Normal"/>
              <w:widowControl w:val="false"/>
              <w:suppressAutoHyphens w:val="true"/>
              <w:spacing w:lineRule="auto" w:line="360" w:before="0" w:after="0"/>
              <w:jc w:val="center"/>
              <w:rPr>
                <w:rFonts w:eastAsia="Calibri" w:cs="Times New Roman"/>
                <w:b/>
                <w:b/>
                <w:bCs/>
                <w:szCs w:val="24"/>
              </w:rPr>
            </w:pPr>
            <w:r>
              <w:rPr>
                <w:rFonts w:eastAsia="Calibri" w:cs="Times New Roman"/>
                <w:b/>
                <w:bCs/>
                <w:kern w:val="0"/>
                <w:szCs w:val="24"/>
                <w:lang w:val="sk-SK" w:eastAsia="en-US" w:bidi="ar-SA"/>
              </w:rPr>
              <w:t>2017</w:t>
            </w:r>
          </w:p>
        </w:tc>
        <w:tc>
          <w:tcPr>
            <w:tcW w:w="1661" w:type="dxa"/>
            <w:tcBorders/>
          </w:tcPr>
          <w:p>
            <w:pPr>
              <w:pStyle w:val="Normal"/>
              <w:widowControl w:val="false"/>
              <w:suppressAutoHyphens w:val="true"/>
              <w:spacing w:lineRule="auto" w:line="360" w:before="0" w:after="0"/>
              <w:jc w:val="center"/>
              <w:rPr>
                <w:rFonts w:eastAsia="Calibri" w:cs="Times New Roman"/>
                <w:b/>
                <w:b/>
                <w:bCs/>
                <w:szCs w:val="24"/>
              </w:rPr>
            </w:pPr>
            <w:r>
              <w:rPr>
                <w:rFonts w:eastAsia="Calibri" w:cs="Times New Roman"/>
                <w:b/>
                <w:bCs/>
                <w:kern w:val="0"/>
                <w:szCs w:val="24"/>
                <w:lang w:val="sk-SK" w:eastAsia="en-US" w:bidi="ar-SA"/>
              </w:rPr>
              <w:t>2018</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 xml:space="preserve">Domov sociálnych služieb </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139 901 059</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146 789 429</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151 634 907</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Denný stacionár</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11 988 772</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12 481 839</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9 400 990</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pre seniorov</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155 908 760</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169 218 322</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192 978 921</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Špecializované zariadenie</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59 034 817</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71 910 191</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89 631 095</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Zariadenie podporovaného bývania</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3 697 332</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3 802 601</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4 214 073</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Zariadenia opatrovateľskej služby</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3 350 745</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21 897 073</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24 030 654</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Rehabilitačné stredisko</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19 821 129</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3 267 717</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4 055 286</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Opatrovateľská služba</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49 007 260</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59 568 574</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74 629 956</w:t>
            </w:r>
          </w:p>
        </w:tc>
      </w:tr>
      <w:tr>
        <w:trPr>
          <w:trHeight w:val="330" w:hRule="atLeast"/>
        </w:trPr>
        <w:tc>
          <w:tcPr>
            <w:tcW w:w="3680"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Spolu</w:t>
            </w:r>
          </w:p>
        </w:tc>
        <w:tc>
          <w:tcPr>
            <w:tcW w:w="1846"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442 709 874</w:t>
            </w:r>
          </w:p>
        </w:tc>
        <w:tc>
          <w:tcPr>
            <w:tcW w:w="1874"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488 935 746</w:t>
            </w:r>
          </w:p>
        </w:tc>
        <w:tc>
          <w:tcPr>
            <w:tcW w:w="1661" w:type="dxa"/>
            <w:tcBorders/>
          </w:tcPr>
          <w:p>
            <w:pPr>
              <w:pStyle w:val="Normal"/>
              <w:widowControl w:val="false"/>
              <w:suppressAutoHyphens w:val="true"/>
              <w:spacing w:lineRule="auto" w:line="360" w:before="0" w:after="0"/>
              <w:jc w:val="left"/>
              <w:rPr>
                <w:rFonts w:eastAsia="Calibri" w:cs="Times New Roman"/>
                <w:szCs w:val="24"/>
              </w:rPr>
            </w:pPr>
            <w:r>
              <w:rPr>
                <w:rFonts w:eastAsia="Calibri" w:cs="Times New Roman"/>
                <w:kern w:val="0"/>
                <w:szCs w:val="24"/>
                <w:lang w:val="sk-SK" w:eastAsia="en-US" w:bidi="ar-SA"/>
              </w:rPr>
              <w:t>550 575 882</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5396230" cy="3836035"/>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spacing w:lineRule="auto" w:line="360"/>
        <w:rPr/>
      </w:pPr>
      <w:r>
        <w:rPr>
          <w:rFonts w:cs="Times New Roman"/>
          <w:sz w:val="20"/>
          <w:szCs w:val="20"/>
        </w:rPr>
        <w:t>Zdroj: Vybrané údaje ŠÚ SR – Zariadenia sociálnych služieb v SR a V(MPSVR SR) 11-01.</w:t>
      </w:r>
    </w:p>
    <w:p>
      <w:pPr>
        <w:pStyle w:val="Normal"/>
        <w:widowControl w:val="false"/>
        <w:spacing w:lineRule="auto" w:line="360" w:before="0" w:after="0"/>
        <w:jc w:val="both"/>
        <w:rPr/>
      </w:pPr>
      <w:r>
        <w:rPr>
          <w:rFonts w:cs="Times New Roman"/>
          <w:szCs w:val="24"/>
        </w:rPr>
        <w:t>Celkové výdavky na sociálne služby každoročne stúpajú, čo je pozitívny signál. Výdavky na z</w:t>
      </w:r>
      <w:r>
        <w:rPr>
          <w:rFonts w:eastAsia="Calibri" w:cs="Times New Roman"/>
          <w:szCs w:val="24"/>
        </w:rPr>
        <w:t>ariadenia opatrovateľskej služby vzrástli medziročne v rokoch 2016 – 2017 z 3,3 mil. eur na 21,9 mil. eur, naopak, klesajú platby na rehabilitačné strediská.</w:t>
      </w:r>
    </w:p>
    <w:p>
      <w:pPr>
        <w:pStyle w:val="Normal"/>
        <w:widowControl w:val="false"/>
        <w:spacing w:lineRule="auto" w:line="360" w:before="0" w:after="0"/>
        <w:rPr>
          <w:rFonts w:cs="Times New Roman"/>
          <w:szCs w:val="24"/>
        </w:rPr>
      </w:pPr>
      <w:r>
        <w:rPr>
          <w:rFonts w:cs="Times New Roman"/>
          <w:szCs w:val="24"/>
        </w:rPr>
      </w:r>
    </w:p>
    <w:p>
      <w:pPr>
        <w:pStyle w:val="Normal"/>
        <w:spacing w:lineRule="auto" w:line="360"/>
        <w:rPr/>
      </w:pPr>
      <w:r>
        <w:rPr>
          <w:rFonts w:cs="Times New Roman"/>
          <w:szCs w:val="24"/>
        </w:rPr>
        <w:t>Vývoj sociálnych služieb:</w:t>
      </w:r>
    </w:p>
    <w:tbl>
      <w:tblPr>
        <w:tblW w:w="868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3221"/>
        <w:gridCol w:w="1718"/>
        <w:gridCol w:w="2064"/>
        <w:gridCol w:w="1676"/>
      </w:tblGrid>
      <w:tr>
        <w:trPr>
          <w:trHeight w:val="330" w:hRule="atLeast"/>
        </w:trPr>
        <w:tc>
          <w:tcPr>
            <w:tcW w:w="32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Rok</w:t>
            </w:r>
          </w:p>
        </w:tc>
        <w:tc>
          <w:tcPr>
            <w:tcW w:w="171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Prijímatelia</w:t>
            </w:r>
          </w:p>
        </w:tc>
        <w:tc>
          <w:tcPr>
            <w:tcW w:w="206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Zamestnanci</w:t>
            </w:r>
          </w:p>
        </w:tc>
        <w:tc>
          <w:tcPr>
            <w:tcW w:w="1676"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Výdavky v (tis. €)</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2014</w:t>
            </w:r>
          </w:p>
        </w:tc>
        <w:tc>
          <w:tcPr>
            <w:tcW w:w="1718"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54 793</w:t>
            </w:r>
          </w:p>
        </w:tc>
        <w:tc>
          <w:tcPr>
            <w:tcW w:w="2064"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29 379</w:t>
            </w:r>
          </w:p>
        </w:tc>
        <w:tc>
          <w:tcPr>
            <w:tcW w:w="1676"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253 999</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2015</w:t>
            </w:r>
          </w:p>
        </w:tc>
        <w:tc>
          <w:tcPr>
            <w:tcW w:w="1718"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58 097</w:t>
            </w:r>
          </w:p>
        </w:tc>
        <w:tc>
          <w:tcPr>
            <w:tcW w:w="2064"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30 541</w:t>
            </w:r>
          </w:p>
        </w:tc>
        <w:tc>
          <w:tcPr>
            <w:tcW w:w="1676"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411 758</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2016</w:t>
            </w:r>
          </w:p>
        </w:tc>
        <w:tc>
          <w:tcPr>
            <w:tcW w:w="1718"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61 786</w:t>
            </w:r>
          </w:p>
        </w:tc>
        <w:tc>
          <w:tcPr>
            <w:tcW w:w="2064"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32 866</w:t>
            </w:r>
          </w:p>
        </w:tc>
        <w:tc>
          <w:tcPr>
            <w:tcW w:w="1676"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442 710</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2017</w:t>
            </w:r>
          </w:p>
        </w:tc>
        <w:tc>
          <w:tcPr>
            <w:tcW w:w="1718"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62 674</w:t>
            </w:r>
          </w:p>
        </w:tc>
        <w:tc>
          <w:tcPr>
            <w:tcW w:w="2064"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33 594</w:t>
            </w:r>
          </w:p>
        </w:tc>
        <w:tc>
          <w:tcPr>
            <w:tcW w:w="1676"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488 936</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2018</w:t>
            </w:r>
          </w:p>
        </w:tc>
        <w:tc>
          <w:tcPr>
            <w:tcW w:w="1718"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61 826</w:t>
            </w:r>
          </w:p>
        </w:tc>
        <w:tc>
          <w:tcPr>
            <w:tcW w:w="2064"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34 052</w:t>
            </w:r>
          </w:p>
        </w:tc>
        <w:tc>
          <w:tcPr>
            <w:tcW w:w="1676" w:type="dxa"/>
            <w:tcBorders>
              <w:bottom w:val="single" w:sz="4" w:space="0" w:color="000000"/>
              <w:right w:val="single" w:sz="4" w:space="0" w:color="000000"/>
            </w:tcBorders>
            <w:shd w:color="auto" w:fill="auto" w:val="clear"/>
            <w:vAlign w:val="bottom"/>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519 566</w:t>
            </w:r>
          </w:p>
        </w:tc>
      </w:tr>
    </w:tbl>
    <w:p>
      <w:pPr>
        <w:pStyle w:val="Normal"/>
        <w:spacing w:lineRule="auto" w:line="360"/>
        <w:rPr>
          <w:rFonts w:cs="Times New Roman"/>
          <w:szCs w:val="24"/>
        </w:rPr>
      </w:pPr>
      <w:r>
        <w:rPr>
          <w:rFonts w:cs="Times New Roman"/>
          <w:szCs w:val="24"/>
        </w:rPr>
      </w:r>
    </w:p>
    <w:p>
      <w:pPr>
        <w:pStyle w:val="Normal"/>
        <w:spacing w:lineRule="auto" w:line="360"/>
        <w:rPr/>
      </w:pPr>
      <w:r>
        <w:rPr/>
        <w:drawing>
          <wp:inline distT="0" distB="0" distL="0" distR="0">
            <wp:extent cx="5760720" cy="26289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360"/>
        <w:jc w:val="both"/>
        <w:rPr>
          <w:rFonts w:cs="Times New Roman"/>
          <w:szCs w:val="24"/>
        </w:rPr>
      </w:pPr>
      <w:r>
        <w:rPr>
          <w:rFonts w:cs="Times New Roman"/>
          <w:szCs w:val="24"/>
        </w:rPr>
        <w:t xml:space="preserve">V rámci komparácie prijímatelia/zamestnanci/výdavky na sociálne služby je evidentný nárast financií potrebných na zabezpečenie sociálnych služieb. Stále však zostáva veľké množstvo prijímateľov „mimo systému“. To bude vyžadovať jednak zmenu systému na jednotný systém </w:t>
      </w:r>
      <w:r>
        <w:rPr>
          <w:rFonts w:eastAsia="Calibri" w:cs="Times New Roman" w:eastAsiaTheme="minorHAnsi"/>
          <w:color w:val="auto"/>
          <w:kern w:val="0"/>
          <w:sz w:val="24"/>
          <w:szCs w:val="24"/>
          <w:lang w:val="sk-SK" w:eastAsia="en-US" w:bidi="ar-SA"/>
        </w:rPr>
        <w:t>fondu odkázanosti</w:t>
      </w:r>
      <w:r>
        <w:rPr>
          <w:rFonts w:cs="Times New Roman"/>
          <w:szCs w:val="24"/>
        </w:rPr>
        <w:t>, takisto ako zvýšený objem financií a zároveň príležitosť vytvoriť nové pracovné miesta. Hovoríme až o 30-tisíc pracovných miestach. V Česku sa po zavedení príspevku zmenila štruktúra a vytvorilo sa viac ako 70-tisíc nových pracovných miest.</w:t>
      </w:r>
    </w:p>
    <w:p>
      <w:pPr>
        <w:pStyle w:val="Normal"/>
        <w:spacing w:lineRule="auto" w:line="360"/>
        <w:rPr>
          <w:rFonts w:cs="Times New Roman"/>
          <w:szCs w:val="24"/>
        </w:rPr>
      </w:pPr>
      <w:r>
        <w:rPr>
          <w:rFonts w:cs="Times New Roman"/>
          <w:szCs w:val="24"/>
        </w:rPr>
      </w:r>
    </w:p>
    <w:p>
      <w:pPr>
        <w:pStyle w:val="Normal"/>
        <w:spacing w:lineRule="auto" w:line="360"/>
        <w:rPr>
          <w:rFonts w:cs="Times New Roman"/>
          <w:szCs w:val="24"/>
        </w:rPr>
      </w:pPr>
      <w:r>
        <w:rPr>
          <w:rFonts w:cs="Times New Roman"/>
          <w:szCs w:val="24"/>
        </w:rPr>
      </w:r>
    </w:p>
    <w:p>
      <w:pPr>
        <w:pStyle w:val="Normal"/>
        <w:spacing w:lineRule="auto" w:line="360"/>
        <w:rPr>
          <w:rFonts w:cs="Times New Roman"/>
          <w:szCs w:val="24"/>
        </w:rPr>
      </w:pPr>
      <w:r>
        <w:rPr>
          <w:rFonts w:cs="Times New Roman"/>
          <w:szCs w:val="24"/>
        </w:rPr>
      </w:r>
    </w:p>
    <w:p>
      <w:pPr>
        <w:pStyle w:val="Normal"/>
        <w:spacing w:lineRule="auto" w:line="360"/>
        <w:rPr/>
      </w:pPr>
      <w:r>
        <w:rPr>
          <w:rFonts w:cs="Times New Roman"/>
          <w:szCs w:val="24"/>
        </w:rPr>
        <w:t>Počet prijímateľov vybraných druhov sociálnych služieb podľa formy poskytovateľa:</w:t>
      </w:r>
    </w:p>
    <w:tbl>
      <w:tblPr>
        <w:tblW w:w="868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3221"/>
        <w:gridCol w:w="1718"/>
        <w:gridCol w:w="2064"/>
        <w:gridCol w:w="1676"/>
      </w:tblGrid>
      <w:tr>
        <w:trPr>
          <w:trHeight w:val="705" w:hRule="atLeast"/>
        </w:trPr>
        <w:tc>
          <w:tcPr>
            <w:tcW w:w="32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 </w:t>
            </w:r>
          </w:p>
        </w:tc>
        <w:tc>
          <w:tcPr>
            <w:tcW w:w="171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 xml:space="preserve">Obce a VÚC </w:t>
            </w:r>
          </w:p>
        </w:tc>
        <w:tc>
          <w:tcPr>
            <w:tcW w:w="206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Neverejní poskytovatelia</w:t>
            </w:r>
          </w:p>
        </w:tc>
        <w:tc>
          <w:tcPr>
            <w:tcW w:w="1676"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b/>
                <w:b/>
                <w:bCs/>
                <w:color w:val="000000"/>
                <w:sz w:val="22"/>
                <w:lang w:eastAsia="sk-SK"/>
              </w:rPr>
            </w:pPr>
            <w:r>
              <w:rPr>
                <w:rFonts w:eastAsia="Times New Roman" w:cs="Calibri" w:ascii="Arial Narrow" w:hAnsi="Arial Narrow"/>
                <w:b/>
                <w:bCs/>
                <w:color w:val="000000"/>
                <w:sz w:val="22"/>
                <w:lang w:eastAsia="sk-SK"/>
              </w:rPr>
              <w:t>Spolu</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Nízkoprahové denné centrum</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638</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3 177</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3 815</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Nízkoprah. s. služba pre deti a rodinu</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1 881</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7 377</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9 258</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Prepravná služba*</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10 286</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7 345</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17 631</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Tlmočnícka služba</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660</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662</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Sprostredkovanie osobnej asistencie</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327</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328</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Požičiavanie pomôcok</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366</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1 872</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2 238</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Krízová pomoc prostredníctvom IKT</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0</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7 152</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7 152</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Denné centrum</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44 109</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9</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44 118</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Jedáleň</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19 688</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2 107</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21 795</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Práčovňa</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2 660</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317</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2 977</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Stredisko osobnej hygieny</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5 487</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1 374</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6 861</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Komunitné centrum</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24 504</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24 031</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48 535</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Podpora samostatného bývania</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61</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36</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97</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Služba včasnej intervencie</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399</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1 301</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1 700</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Terénna služba krízovej intervencie</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14 878</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9 424</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24 302</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Jasle</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871</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1 918</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2 789</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Základné sociálne poradenstvo</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 </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18 326</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18 326</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bookmarkStart w:id="0" w:name="_Hlk51782996"/>
            <w:r>
              <w:rPr>
                <w:rFonts w:eastAsia="Times New Roman" w:cs="Calibri" w:ascii="Arial Narrow" w:hAnsi="Arial Narrow"/>
                <w:color w:val="000000"/>
                <w:sz w:val="22"/>
                <w:lang w:eastAsia="sk-SK"/>
              </w:rPr>
              <w:t>Špecializované soc. poradenstvo</w:t>
            </w:r>
            <w:bookmarkEnd w:id="0"/>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 </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23 203</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23 203</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Sociálna rehabilitácia</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 </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779</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779</w:t>
            </w:r>
          </w:p>
        </w:tc>
      </w:tr>
      <w:tr>
        <w:trPr>
          <w:trHeight w:val="330" w:hRule="atLeast"/>
        </w:trPr>
        <w:tc>
          <w:tcPr>
            <w:tcW w:w="3221"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Spolu</w:t>
            </w:r>
          </w:p>
        </w:tc>
        <w:tc>
          <w:tcPr>
            <w:tcW w:w="1718"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125 831</w:t>
            </w:r>
          </w:p>
        </w:tc>
        <w:tc>
          <w:tcPr>
            <w:tcW w:w="2064"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110 735</w:t>
            </w:r>
          </w:p>
        </w:tc>
        <w:tc>
          <w:tcPr>
            <w:tcW w:w="1676" w:type="dxa"/>
            <w:tcBorders>
              <w:bottom w:val="single" w:sz="4" w:space="0" w:color="000000"/>
              <w:right w:val="single" w:sz="4" w:space="0" w:color="000000"/>
            </w:tcBorders>
            <w:shd w:color="auto" w:fill="auto" w:val="clear"/>
            <w:vAlign w:val="center"/>
          </w:tcPr>
          <w:p>
            <w:pPr>
              <w:pStyle w:val="Normal"/>
              <w:widowControl w:val="false"/>
              <w:spacing w:lineRule="auto" w:line="360" w:before="0" w:after="0"/>
              <w:jc w:val="center"/>
              <w:rPr>
                <w:rFonts w:ascii="Arial Narrow" w:hAnsi="Arial Narrow" w:eastAsia="Times New Roman" w:cs="Calibri"/>
                <w:color w:val="000000"/>
                <w:sz w:val="22"/>
                <w:lang w:eastAsia="sk-SK"/>
              </w:rPr>
            </w:pPr>
            <w:r>
              <w:rPr>
                <w:rFonts w:eastAsia="Times New Roman" w:cs="Calibri" w:ascii="Arial Narrow" w:hAnsi="Arial Narrow"/>
                <w:color w:val="000000"/>
                <w:sz w:val="22"/>
                <w:lang w:eastAsia="sk-SK"/>
              </w:rPr>
              <w:t>236 566</w:t>
            </w:r>
          </w:p>
        </w:tc>
      </w:tr>
    </w:tbl>
    <w:p>
      <w:pPr>
        <w:pStyle w:val="Normal"/>
        <w:spacing w:lineRule="auto" w:line="360"/>
        <w:rPr/>
      </w:pPr>
      <w:r>
        <w:rPr/>
        <w:drawing>
          <wp:inline distT="0" distB="0" distL="0" distR="0">
            <wp:extent cx="5760720" cy="360172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360"/>
        <w:rPr/>
      </w:pPr>
      <w:r>
        <w:rPr>
          <w:rFonts w:cs="Times New Roman"/>
          <w:sz w:val="20"/>
          <w:szCs w:val="20"/>
        </w:rPr>
        <w:t>Zdroj: V(MPSVR SR) 10-01, V(MPSVR SR) 11-01 a V(MPSVR SR) 07-01 a centrálneho registra.</w:t>
      </w:r>
    </w:p>
    <w:p>
      <w:pPr>
        <w:pStyle w:val="Normal"/>
        <w:spacing w:lineRule="auto" w:line="360"/>
        <w:jc w:val="both"/>
        <w:rPr>
          <w:rFonts w:cs="Times New Roman"/>
          <w:szCs w:val="24"/>
        </w:rPr>
      </w:pPr>
      <w:r>
        <w:rPr>
          <w:rFonts w:cs="Times New Roman"/>
          <w:szCs w:val="24"/>
        </w:rPr>
        <w:t>V rámci počtu prijímateľov vybraných druhov sociálnych služieb podľa formy poskytovateľa je pri verejných poskytovateľoch najvyšší počet pre denné a komunitné centrá, pri neverejných poskytovateľoch komunitné centrum, špecializované aj základné sociálne poradenstvo.</w:t>
      </w:r>
    </w:p>
    <w:p>
      <w:pPr>
        <w:pStyle w:val="Normal"/>
        <w:spacing w:lineRule="auto" w:line="360"/>
        <w:rPr/>
      </w:pPr>
      <w:r>
        <w:rPr>
          <w:rFonts w:cs="Times New Roman"/>
          <w:szCs w:val="24"/>
        </w:rPr>
        <w:t>Všetky údaje sme čerpali zo Správy o sociálnej situácii obyvateľstva MPSVaR za rok 2019</w:t>
      </w:r>
      <w:r>
        <w:rPr>
          <w:rStyle w:val="FootnoteAnchor"/>
          <w:rFonts w:cs="Times New Roman"/>
          <w:szCs w:val="24"/>
        </w:rPr>
        <w:footnoteReference w:id="2"/>
      </w:r>
      <w:r>
        <w:rPr>
          <w:rFonts w:cs="Times New Roman"/>
          <w:szCs w:val="24"/>
        </w:rPr>
        <w:t>.</w:t>
      </w:r>
    </w:p>
    <w:p>
      <w:pPr>
        <w:pStyle w:val="Normal"/>
        <w:spacing w:lineRule="auto" w:line="360"/>
        <w:rPr>
          <w:rStyle w:val="InternetLink"/>
        </w:rPr>
      </w:pPr>
      <w:r>
        <w:rPr/>
      </w:r>
    </w:p>
    <w:p>
      <w:pPr>
        <w:pStyle w:val="Normal"/>
        <w:spacing w:lineRule="auto" w:line="360"/>
        <w:rPr>
          <w:rStyle w:val="InternetLink"/>
        </w:rPr>
      </w:pPr>
      <w:r>
        <w:rPr/>
      </w:r>
    </w:p>
    <w:p>
      <w:pPr>
        <w:pStyle w:val="Normal"/>
        <w:spacing w:lineRule="auto" w:line="360"/>
        <w:rPr>
          <w:rStyle w:val="InternetLink"/>
        </w:rPr>
      </w:pPr>
      <w:r>
        <w:rPr/>
      </w:r>
    </w:p>
    <w:p>
      <w:pPr>
        <w:pStyle w:val="Normal"/>
        <w:spacing w:lineRule="auto" w:line="360"/>
        <w:rPr>
          <w:rStyle w:val="InternetLink"/>
        </w:rPr>
      </w:pPr>
      <w:r>
        <w:rPr/>
      </w:r>
    </w:p>
    <w:p>
      <w:pPr>
        <w:pStyle w:val="Normal"/>
        <w:spacing w:lineRule="auto" w:line="360"/>
        <w:rPr>
          <w:rStyle w:val="InternetLink"/>
        </w:rPr>
      </w:pPr>
      <w:r>
        <w:rPr/>
      </w:r>
    </w:p>
    <w:p>
      <w:pPr>
        <w:pStyle w:val="Heading2"/>
        <w:numPr>
          <w:ilvl w:val="1"/>
          <w:numId w:val="3"/>
        </w:numPr>
        <w:spacing w:lineRule="auto" w:line="360"/>
        <w:rPr/>
      </w:pPr>
      <w:r>
        <w:rPr/>
        <w:t>Sumarizácia aktuálneho stavu poistenia v rámci zdravotného, sociálneho poistenia a odvodového zaťaženia</w:t>
      </w:r>
    </w:p>
    <w:p>
      <w:pPr>
        <w:pStyle w:val="Normal"/>
        <w:spacing w:lineRule="auto" w:line="360"/>
        <w:jc w:val="both"/>
        <w:rPr/>
      </w:pPr>
      <w:r>
        <w:rPr>
          <w:rFonts w:cs="Times New Roman"/>
          <w:szCs w:val="24"/>
        </w:rPr>
        <w:t xml:space="preserve">V rámci aktuálneho stavu sme zosumarizovali </w:t>
      </w:r>
      <w:r>
        <w:rPr>
          <w:rFonts w:eastAsia="Times New Roman" w:cs="Times New Roman"/>
          <w:color w:val="000000"/>
          <w:szCs w:val="24"/>
          <w:lang w:eastAsia="sk-SK"/>
        </w:rPr>
        <w:t>príjmy zo zdravotného poistenia, príjmy v rámci jednotlivých fondov sociálneho poistenia a aktuálny systém odvodového zaťaženia.</w:t>
      </w:r>
    </w:p>
    <w:p>
      <w:pPr>
        <w:pStyle w:val="Normal"/>
        <w:spacing w:lineRule="auto" w:line="360"/>
        <w:rPr/>
      </w:pPr>
      <w:r>
        <w:rPr>
          <w:rFonts w:eastAsia="Times New Roman" w:cs="Times New Roman"/>
          <w:color w:val="4472C4" w:themeColor="accent1"/>
          <w:szCs w:val="24"/>
          <w:lang w:eastAsia="sk-SK"/>
        </w:rPr>
        <w:t>Príjmy zo zdravotného poistenia za rok 2018</w:t>
      </w:r>
    </w:p>
    <w:p>
      <w:pPr>
        <w:pStyle w:val="Normal"/>
        <w:spacing w:lineRule="auto" w:line="360"/>
        <w:rPr/>
      </w:pPr>
      <w:r>
        <w:rPr>
          <w:rFonts w:eastAsia="Times New Roman" w:cs="Times New Roman"/>
          <w:color w:val="000000"/>
          <w:szCs w:val="24"/>
          <w:lang w:eastAsia="sk-SK"/>
        </w:rPr>
        <w:t>VŠZP</w:t>
        <w:tab/>
        <w:tab/>
        <w:tab/>
        <w:tab/>
        <w:t>3 282 987 679,00 €</w:t>
      </w:r>
    </w:p>
    <w:p>
      <w:pPr>
        <w:pStyle w:val="Normal"/>
        <w:spacing w:lineRule="auto" w:line="360"/>
        <w:rPr/>
      </w:pPr>
      <w:r>
        <w:rPr>
          <w:rFonts w:eastAsia="Times New Roman" w:cs="Times New Roman"/>
          <w:color w:val="000000"/>
          <w:szCs w:val="24"/>
          <w:lang w:eastAsia="sk-SK"/>
        </w:rPr>
        <w:t>Dôvera</w:t>
        <w:tab/>
        <w:tab/>
        <w:tab/>
        <w:tab/>
        <w:t>1 400 100 000,00 €</w:t>
      </w:r>
    </w:p>
    <w:p>
      <w:pPr>
        <w:pStyle w:val="Normal"/>
        <w:spacing w:lineRule="auto" w:line="360"/>
        <w:rPr/>
      </w:pPr>
      <w:r>
        <w:rPr>
          <w:rFonts w:eastAsia="Times New Roman" w:cs="Times New Roman"/>
          <w:color w:val="000000"/>
          <w:szCs w:val="24"/>
          <w:lang w:eastAsia="sk-SK"/>
        </w:rPr>
        <w:t>Union</w:t>
        <w:tab/>
        <w:tab/>
        <w:tab/>
        <w:tab/>
        <w:t>434 345 443,00 €</w:t>
      </w:r>
    </w:p>
    <w:p>
      <w:pPr>
        <w:pStyle w:val="Normal"/>
        <w:spacing w:lineRule="auto" w:line="360"/>
        <w:rPr/>
      </w:pPr>
      <w:r>
        <w:rPr>
          <w:rFonts w:eastAsia="Times New Roman" w:cs="Times New Roman"/>
          <w:color w:val="000000"/>
          <w:szCs w:val="24"/>
          <w:lang w:eastAsia="sk-SK"/>
        </w:rPr>
        <w:t xml:space="preserve">Spolu </w:t>
        <w:tab/>
        <w:tab/>
        <w:tab/>
        <w:tab/>
        <w:t>3 718 733 222,00 €</w:t>
      </w:r>
    </w:p>
    <w:p>
      <w:pPr>
        <w:pStyle w:val="Normal"/>
        <w:spacing w:lineRule="auto" w:line="360"/>
        <w:rPr/>
      </w:pPr>
      <w:r>
        <w:rPr/>
        <w:drawing>
          <wp:inline distT="0" distB="0" distL="0" distR="0">
            <wp:extent cx="4572000" cy="273367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Normal"/>
        <w:spacing w:lineRule="auto" w:line="360"/>
        <w:rPr/>
      </w:pPr>
      <w:r>
        <w:rPr>
          <w:rFonts w:eastAsia="Times New Roman" w:cs="Times New Roman"/>
          <w:color w:val="4472C4" w:themeColor="accent1"/>
          <w:szCs w:val="24"/>
          <w:lang w:eastAsia="sk-SK"/>
        </w:rPr>
        <w:t>Príjmy zo sociálneho poistenia za rok 2018</w:t>
      </w:r>
    </w:p>
    <w:p>
      <w:pPr>
        <w:pStyle w:val="Normal"/>
        <w:spacing w:lineRule="auto" w:line="360"/>
        <w:rPr/>
      </w:pPr>
      <w:r>
        <w:rPr>
          <w:rFonts w:eastAsia="Times New Roman" w:cs="Times New Roman"/>
          <w:color w:val="000000"/>
          <w:szCs w:val="24"/>
          <w:lang w:eastAsia="sk-SK"/>
        </w:rPr>
        <w:t>Základný fond nemocenského poistenia</w:t>
        <w:tab/>
        <w:t>744 140 000 €</w:t>
      </w:r>
    </w:p>
    <w:p>
      <w:pPr>
        <w:pStyle w:val="Normal"/>
        <w:spacing w:lineRule="auto" w:line="360"/>
        <w:rPr/>
      </w:pPr>
      <w:r>
        <w:rPr>
          <w:rFonts w:eastAsia="Times New Roman" w:cs="Times New Roman"/>
          <w:color w:val="000000"/>
          <w:szCs w:val="24"/>
          <w:lang w:eastAsia="sk-SK"/>
        </w:rPr>
        <w:t>Základný fond starobného poistenia</w:t>
        <w:tab/>
        <w:tab/>
        <w:t>4 238 670 000 €</w:t>
      </w:r>
    </w:p>
    <w:p>
      <w:pPr>
        <w:pStyle w:val="Normal"/>
        <w:spacing w:lineRule="auto" w:line="360"/>
        <w:rPr/>
      </w:pPr>
      <w:r>
        <w:rPr>
          <w:rFonts w:eastAsia="Times New Roman" w:cs="Times New Roman"/>
          <w:color w:val="000000"/>
          <w:szCs w:val="24"/>
          <w:lang w:eastAsia="sk-SK"/>
        </w:rPr>
        <w:t>Základný fond invalidného poistenia</w:t>
        <w:tab/>
        <w:tab/>
        <w:t>1 616 600 000 €</w:t>
      </w:r>
    </w:p>
    <w:p>
      <w:pPr>
        <w:pStyle w:val="Normal"/>
        <w:spacing w:lineRule="auto" w:line="360"/>
        <w:rPr/>
      </w:pPr>
      <w:r>
        <w:rPr>
          <w:rFonts w:eastAsia="Times New Roman" w:cs="Times New Roman"/>
          <w:color w:val="000000"/>
          <w:szCs w:val="24"/>
          <w:lang w:eastAsia="sk-SK"/>
        </w:rPr>
        <w:t>Dôchodkové poistenie spolu</w:t>
        <w:tab/>
        <w:tab/>
        <w:tab/>
        <w:t>5 855 270 000 €</w:t>
      </w:r>
    </w:p>
    <w:p>
      <w:pPr>
        <w:pStyle w:val="Normal"/>
        <w:spacing w:lineRule="auto" w:line="360"/>
        <w:rPr/>
      </w:pPr>
      <w:r>
        <w:rPr>
          <w:rFonts w:eastAsia="Times New Roman" w:cs="Times New Roman"/>
          <w:color w:val="000000"/>
          <w:szCs w:val="24"/>
          <w:lang w:eastAsia="sk-SK"/>
        </w:rPr>
        <w:t>Základný fond poistenia zodpovednosti zamestnávateľa za škodu pre pracovný úraz a chorobu z povolania (PZŠ)/ úrazového poistenia</w:t>
        <w:tab/>
        <w:t>209 610 000 €</w:t>
      </w:r>
    </w:p>
    <w:p>
      <w:pPr>
        <w:pStyle w:val="Normal"/>
        <w:spacing w:lineRule="auto" w:line="360"/>
        <w:rPr/>
      </w:pPr>
      <w:r>
        <w:rPr>
          <w:rFonts w:eastAsia="Times New Roman" w:cs="Times New Roman"/>
          <w:color w:val="000000"/>
          <w:szCs w:val="24"/>
          <w:lang w:eastAsia="sk-SK"/>
        </w:rPr>
        <w:t>Základný fond garančného poistenia</w:t>
        <w:tab/>
        <w:tab/>
        <w:t>61 140 000 €</w:t>
      </w:r>
    </w:p>
    <w:p>
      <w:pPr>
        <w:pStyle w:val="Normal"/>
        <w:spacing w:lineRule="auto" w:line="360"/>
        <w:rPr/>
      </w:pPr>
      <w:r>
        <w:rPr>
          <w:rFonts w:eastAsia="Times New Roman" w:cs="Times New Roman"/>
          <w:color w:val="000000"/>
          <w:szCs w:val="24"/>
          <w:lang w:eastAsia="sk-SK"/>
        </w:rPr>
        <w:t>Základný fond poistenia v nezamestnanosti</w:t>
        <w:tab/>
        <w:t>487 830 000 €</w:t>
      </w:r>
    </w:p>
    <w:p>
      <w:pPr>
        <w:pStyle w:val="Normal"/>
        <w:spacing w:lineRule="auto" w:line="360"/>
        <w:rPr/>
      </w:pPr>
      <w:r>
        <w:rPr>
          <w:rFonts w:eastAsia="Times New Roman" w:cs="Times New Roman"/>
          <w:color w:val="000000"/>
          <w:szCs w:val="24"/>
          <w:lang w:eastAsia="sk-SK"/>
        </w:rPr>
        <w:t>Rezervný fond solidarity</w:t>
        <w:tab/>
        <w:tab/>
        <w:tab/>
        <w:t>1 224 880 000 €</w:t>
      </w:r>
    </w:p>
    <w:p>
      <w:pPr>
        <w:pStyle w:val="Normal"/>
        <w:spacing w:lineRule="auto" w:line="360"/>
        <w:rPr/>
      </w:pPr>
      <w:r>
        <w:rPr>
          <w:rFonts w:eastAsia="Times New Roman" w:cs="Times New Roman"/>
          <w:color w:val="000000"/>
          <w:szCs w:val="24"/>
          <w:lang w:eastAsia="sk-SK"/>
        </w:rPr>
        <w:t>Správny fond</w:t>
        <w:tab/>
        <w:tab/>
        <w:tab/>
        <w:tab/>
        <w:tab/>
        <w:t>196 120 000 €</w:t>
      </w:r>
    </w:p>
    <w:p>
      <w:pPr>
        <w:pStyle w:val="Normal"/>
        <w:spacing w:lineRule="auto" w:line="360"/>
        <w:rPr/>
      </w:pPr>
      <w:r>
        <w:rPr>
          <w:rFonts w:eastAsia="Times New Roman" w:cs="Times New Roman"/>
          <w:color w:val="000000"/>
          <w:szCs w:val="24"/>
          <w:lang w:eastAsia="sk-SK"/>
        </w:rPr>
        <w:t>Celkom zdroje</w:t>
        <w:tab/>
        <w:tab/>
        <w:tab/>
        <w:tab/>
        <w:t>8 778 990 000 €</w:t>
      </w:r>
    </w:p>
    <w:p>
      <w:pPr>
        <w:pStyle w:val="Normal"/>
        <w:spacing w:lineRule="auto" w:line="360"/>
        <w:rPr/>
      </w:pPr>
      <w:r>
        <w:rPr/>
        <w:drawing>
          <wp:inline distT="0" distB="0" distL="0" distR="0">
            <wp:extent cx="5760720" cy="3402330"/>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spacing w:lineRule="auto" w:line="360"/>
        <w:rPr>
          <w:rFonts w:eastAsia="Times New Roman" w:cs="Times New Roman"/>
          <w:color w:val="000000"/>
          <w:szCs w:val="24"/>
          <w:lang w:eastAsia="sk-SK"/>
        </w:rPr>
      </w:pPr>
      <w:r>
        <w:rPr>
          <w:rFonts w:eastAsia="Times New Roman" w:cs="Times New Roman"/>
          <w:color w:val="000000"/>
          <w:szCs w:val="24"/>
          <w:lang w:eastAsia="sk-SK"/>
        </w:rPr>
      </w:r>
    </w:p>
    <w:p>
      <w:pPr>
        <w:pStyle w:val="Heading2"/>
        <w:numPr>
          <w:ilvl w:val="1"/>
          <w:numId w:val="3"/>
        </w:numPr>
        <w:spacing w:lineRule="auto" w:line="360"/>
        <w:rPr/>
      </w:pPr>
      <w:r>
        <w:rPr/>
        <w:t>Východiská a predpoklady pre zmenu financovania dlhodobej starostlivosti na Slovensku – koncept vychádzajúci z českého modelu financovania</w:t>
      </w:r>
    </w:p>
    <w:p>
      <w:pPr>
        <w:pStyle w:val="Normal"/>
        <w:spacing w:lineRule="auto" w:line="360"/>
        <w:jc w:val="both"/>
        <w:rPr/>
      </w:pPr>
      <w:r>
        <w:rPr>
          <w:rFonts w:cs="Times New Roman"/>
          <w:szCs w:val="24"/>
        </w:rPr>
        <w:t>V rámci aktuálneho stavu sme vychádzali z konceptu financovania v Českej republike. Táto pristúpila k zavedeniu príspevku na nesebestačnosť pred viac ako 10 rokmi. Skúsenosti so zavedením „příspěvku na péči“ sú v zmysle vyjadrení MPSVaR ČR, ako aj MZ ČR vynikajúce. Príspevok rieši plnohodnotne problém ľudí odkázaných na dlhodobú starostlivosť, takisto ako aj ich rodín, keďže sa eliminoval finančný tlak na príspevky rodiny na dlhodobú starostlivosť, ktorú hradí štát formou štátnej dávky. V rámci toho roku 2020 je celkový rozpočet na zdravotníctvo v ČR na úrovni 13,3 mld eur. Z toho v zmysle rozpočtovaných prostriedkov pripadá 17 % na výdavky na „příspěvek na péči“, teda na dlhodobú starostlivosť.</w:t>
      </w:r>
    </w:p>
    <w:p>
      <w:pPr>
        <w:pStyle w:val="Normal"/>
        <w:spacing w:lineRule="auto" w:line="360"/>
        <w:jc w:val="both"/>
        <w:rPr/>
      </w:pPr>
      <w:r>
        <w:rPr>
          <w:rFonts w:cs="Times New Roman"/>
          <w:szCs w:val="24"/>
        </w:rPr>
        <w:t>V Čechách sa počet osôb, ktoré majú nárok na túto štátnu dávku, pohybuje na úrovni 368-tisíc osôb</w:t>
      </w:r>
      <w:r>
        <w:rPr>
          <w:rStyle w:val="FootnoteAnchor"/>
          <w:rFonts w:cs="Times New Roman"/>
          <w:szCs w:val="24"/>
        </w:rPr>
        <w:footnoteReference w:id="3"/>
      </w:r>
      <w:r>
        <w:rPr>
          <w:rFonts w:cs="Times New Roman"/>
          <w:szCs w:val="24"/>
        </w:rPr>
        <w:t>, čo je viac ako 3-násobok u nás očakávaného počtu prijímateľov, v Čechách je iný rozsah stupňov odkázanosti ako u nás (4 stupne v ČR versus 6 stupňov na Slovensku). Na Slovensku sa dlhodobo počet osôb odkázaných na dlhodobú starostlivosť pohybuje na úrovni 122-tisíc až 128-tisíc v priebehu posledných 10 rokov. Pre náš výpočet budem počítať s 1/3 počtom z českých 368-tisíc osôb s nárokom na dávku, teda počtom 124-tisíc osôb odkázaných na dlhodobú starostlivosť na Slovensku.</w:t>
      </w:r>
    </w:p>
    <w:p>
      <w:pPr>
        <w:pStyle w:val="Normal"/>
        <w:spacing w:lineRule="auto" w:line="360"/>
        <w:jc w:val="both"/>
        <w:rPr/>
      </w:pPr>
      <w:r>
        <w:rPr>
          <w:rFonts w:cs="Times New Roman"/>
          <w:szCs w:val="24"/>
        </w:rPr>
        <w:t>Porovnanie rozpočtov na zdravotníctvo v Čechách a na Slovensku vrátane výdavkov na dlhodobú starostlivosť a počtami poberateľov:</w:t>
      </w:r>
    </w:p>
    <w:tbl>
      <w:tblPr>
        <w:tblW w:w="9062"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3534"/>
        <w:gridCol w:w="2127"/>
        <w:gridCol w:w="1845"/>
        <w:gridCol w:w="1555"/>
      </w:tblGrid>
      <w:tr>
        <w:trPr>
          <w:trHeight w:val="300" w:hRule="atLeast"/>
        </w:trPr>
        <w:tc>
          <w:tcPr>
            <w:tcW w:w="3534"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Rok 2020</w:t>
            </w:r>
          </w:p>
        </w:tc>
        <w:tc>
          <w:tcPr>
            <w:tcW w:w="2127" w:type="dxa"/>
            <w:tcBorders>
              <w:top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Česko</w:t>
            </w:r>
          </w:p>
        </w:tc>
        <w:tc>
          <w:tcPr>
            <w:tcW w:w="1845" w:type="dxa"/>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Slovensko</w:t>
            </w:r>
          </w:p>
        </w:tc>
        <w:tc>
          <w:tcPr>
            <w:tcW w:w="1555" w:type="dxa"/>
            <w:tcBorders>
              <w:top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Slovensko</w:t>
            </w:r>
          </w:p>
        </w:tc>
      </w:tr>
      <w:tr>
        <w:trPr>
          <w:trHeight w:val="600" w:hRule="atLeast"/>
        </w:trPr>
        <w:tc>
          <w:tcPr>
            <w:tcW w:w="3534"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Výdavky na zdravotníctvo</w:t>
            </w:r>
          </w:p>
        </w:tc>
        <w:tc>
          <w:tcPr>
            <w:tcW w:w="2127" w:type="dxa"/>
            <w:tcBorders>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13 270 000 000 €</w:t>
            </w:r>
          </w:p>
        </w:tc>
        <w:tc>
          <w:tcPr>
            <w:tcW w:w="1845"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5 400 000 000 €</w:t>
            </w:r>
          </w:p>
        </w:tc>
        <w:tc>
          <w:tcPr>
            <w:tcW w:w="1555"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w:t>
            </w:r>
          </w:p>
        </w:tc>
      </w:tr>
      <w:tr>
        <w:trPr>
          <w:trHeight w:val="600" w:hRule="atLeast"/>
        </w:trPr>
        <w:tc>
          <w:tcPr>
            <w:tcW w:w="3534"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Výdavky na dlhodobú starostlivosť</w:t>
            </w:r>
          </w:p>
        </w:tc>
        <w:tc>
          <w:tcPr>
            <w:tcW w:w="2127" w:type="dxa"/>
            <w:tcBorders>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2 290 000 000 €</w:t>
            </w:r>
          </w:p>
        </w:tc>
        <w:tc>
          <w:tcPr>
            <w:tcW w:w="1845"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755 726 500 €</w:t>
            </w:r>
          </w:p>
        </w:tc>
        <w:tc>
          <w:tcPr>
            <w:tcW w:w="1555"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w:t>
            </w:r>
          </w:p>
        </w:tc>
      </w:tr>
      <w:tr>
        <w:trPr>
          <w:trHeight w:val="315" w:hRule="atLeast"/>
        </w:trPr>
        <w:tc>
          <w:tcPr>
            <w:tcW w:w="3534"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Počet poberateľov</w:t>
            </w:r>
          </w:p>
        </w:tc>
        <w:tc>
          <w:tcPr>
            <w:tcW w:w="2127" w:type="dxa"/>
            <w:tcBorders>
              <w:bottom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368 000</w:t>
            </w:r>
          </w:p>
        </w:tc>
        <w:tc>
          <w:tcPr>
            <w:tcW w:w="1845"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122 667</w:t>
            </w:r>
          </w:p>
        </w:tc>
        <w:tc>
          <w:tcPr>
            <w:tcW w:w="1555"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w:t>
            </w:r>
          </w:p>
        </w:tc>
      </w:tr>
      <w:tr>
        <w:trPr>
          <w:trHeight w:val="300" w:hRule="atLeast"/>
        </w:trPr>
        <w:tc>
          <w:tcPr>
            <w:tcW w:w="9061" w:type="dxa"/>
            <w:gridSpan w:val="4"/>
            <w:tcBorders>
              <w:top w:val="single" w:sz="8" w:space="0" w:color="000000"/>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 Skutočnosť</w:t>
            </w:r>
          </w:p>
        </w:tc>
      </w:tr>
      <w:tr>
        <w:trPr>
          <w:trHeight w:val="300" w:hRule="atLeast"/>
        </w:trPr>
        <w:tc>
          <w:tcPr>
            <w:tcW w:w="9061" w:type="dxa"/>
            <w:gridSpan w:val="4"/>
            <w:tcBorders>
              <w:top w:val="single" w:sz="4" w:space="0" w:color="000000"/>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color w:val="000000"/>
                <w:szCs w:val="24"/>
                <w:lang w:eastAsia="sk-SK"/>
              </w:rPr>
            </w:pPr>
            <w:r>
              <w:rPr>
                <w:rFonts w:eastAsia="Times New Roman" w:cs="Times New Roman"/>
                <w:color w:val="000000"/>
                <w:szCs w:val="24"/>
                <w:lang w:eastAsia="sk-SK"/>
              </w:rPr>
              <w:t>* Odhad na počet poberateľov s rovnakým pomerom výdavkov ako rozpočet ČR</w:t>
            </w:r>
          </w:p>
        </w:tc>
      </w:tr>
      <w:tr>
        <w:trPr>
          <w:trHeight w:val="915" w:hRule="atLeast"/>
        </w:trPr>
        <w:tc>
          <w:tcPr>
            <w:tcW w:w="9061" w:type="dxa"/>
            <w:gridSpan w:val="4"/>
            <w:tcBorders>
              <w:top w:val="single" w:sz="4"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color w:val="000000"/>
                <w:szCs w:val="24"/>
                <w:lang w:eastAsia="sk-SK"/>
              </w:rPr>
            </w:pPr>
            <w:r>
              <w:rPr>
                <w:rFonts w:eastAsia="Times New Roman" w:cs="Times New Roman"/>
                <w:color w:val="000000"/>
                <w:szCs w:val="24"/>
                <w:lang w:eastAsia="sk-SK"/>
              </w:rPr>
              <w:t>** Počet osôb poberajúcich osobnú asistenciu, príspevok na opatrovanie, opatrovateľské služby a osoby u inštitucionálnych poskytovateľov sociálnych služieb</w:t>
            </w:r>
          </w:p>
        </w:tc>
      </w:tr>
    </w:tbl>
    <w:p>
      <w:pPr>
        <w:pStyle w:val="Normal"/>
        <w:spacing w:lineRule="auto" w:line="360"/>
        <w:jc w:val="both"/>
        <w:rPr>
          <w:rFonts w:cs="Times New Roman"/>
          <w:szCs w:val="24"/>
        </w:rPr>
      </w:pPr>
      <w:r>
        <w:rPr>
          <w:rFonts w:cs="Times New Roman"/>
          <w:szCs w:val="24"/>
        </w:rPr>
      </w:r>
    </w:p>
    <w:p>
      <w:pPr>
        <w:pStyle w:val="Normal"/>
        <w:spacing w:lineRule="auto" w:line="360"/>
        <w:jc w:val="both"/>
        <w:rPr/>
      </w:pPr>
      <w:r>
        <w:rPr>
          <w:rFonts w:cs="Times New Roman"/>
          <w:szCs w:val="24"/>
        </w:rPr>
        <w:t>Pri nastavení financovania je potrebný presun financií, ktoré aktuálne vynakladá MPSVaR. Išlo by o rozpočtový presun 550,6 mil. eur z rozpočtu MPSVaR do rozpočtovej kapitoly MZ, do nového fondu odkázanosti.</w:t>
      </w:r>
    </w:p>
    <w:p>
      <w:pPr>
        <w:pStyle w:val="Normal"/>
        <w:spacing w:lineRule="auto" w:line="360"/>
        <w:jc w:val="both"/>
        <w:rPr/>
      </w:pPr>
      <w:r>
        <w:rPr>
          <w:rFonts w:cs="Times New Roman"/>
          <w:szCs w:val="24"/>
        </w:rPr>
        <w:t xml:space="preserve">V rámci vzatia kompetencií a povinností municipalitám v oblasti dlhodobej starostlivosti sme uvažovali aj o znížení objemu financií, ktoré sa rozdeľujú mestám, obciam a VÚC, a to úpravou odpočítateľnej položky na osemnásobok minimálnej mzdy. Takisto počítame so znížením dane príjmov o 0,5 p. b. na 18,5 %. Deficit pri výbere dane z príjmov fyzických osôb by </w:t>
      </w:r>
      <w:r>
        <w:rPr>
          <w:rFonts w:eastAsia="Calibri" w:cs="Times New Roman" w:eastAsiaTheme="minorHAnsi"/>
          <w:color w:val="auto"/>
          <w:kern w:val="0"/>
          <w:sz w:val="24"/>
          <w:szCs w:val="24"/>
          <w:lang w:val="sk-SK" w:eastAsia="en-US" w:bidi="ar-SA"/>
        </w:rPr>
        <w:t>v </w:t>
      </w:r>
      <w:r>
        <w:rPr>
          <w:rFonts w:cs="Times New Roman"/>
          <w:szCs w:val="24"/>
        </w:rPr>
        <w:t>roku 2019 predstavoval 201 miliónov eur.</w:t>
      </w:r>
    </w:p>
    <w:p>
      <w:pPr>
        <w:pStyle w:val="Normal"/>
        <w:spacing w:lineRule="auto" w:line="360"/>
        <w:jc w:val="both"/>
        <w:rPr/>
      </w:pPr>
      <w:r>
        <w:rPr>
          <w:rFonts w:eastAsia="Calibri" w:cs="Times New Roman" w:eastAsiaTheme="minorHAnsi"/>
          <w:color w:val="auto"/>
          <w:kern w:val="0"/>
          <w:sz w:val="24"/>
          <w:szCs w:val="24"/>
          <w:lang w:val="sk-SK" w:eastAsia="en-US" w:bidi="ar-SA"/>
        </w:rPr>
        <w:t>Nový fond odkázanosti</w:t>
      </w:r>
      <w:r>
        <w:rPr>
          <w:rFonts w:cs="Times New Roman"/>
          <w:szCs w:val="24"/>
        </w:rPr>
        <w:t xml:space="preserve"> </w:t>
      </w:r>
      <w:r>
        <w:rPr>
          <w:rFonts w:eastAsia="Calibri" w:cs="Times New Roman" w:eastAsiaTheme="minorHAnsi"/>
          <w:color w:val="auto"/>
          <w:kern w:val="0"/>
          <w:sz w:val="24"/>
          <w:szCs w:val="24"/>
          <w:lang w:val="sk-SK" w:eastAsia="en-US" w:bidi="ar-SA"/>
        </w:rPr>
        <w:t>navrhujeme vo výške</w:t>
      </w:r>
      <w:r>
        <w:rPr>
          <w:rFonts w:cs="Times New Roman"/>
          <w:szCs w:val="24"/>
        </w:rPr>
        <w:t xml:space="preserve"> 1,5 % </w:t>
      </w:r>
      <w:r>
        <w:rPr>
          <w:rFonts w:eastAsia="Calibri" w:cs="Times New Roman" w:eastAsiaTheme="minorHAnsi"/>
          <w:color w:val="auto"/>
          <w:kern w:val="0"/>
          <w:sz w:val="24"/>
          <w:szCs w:val="24"/>
          <w:lang w:val="sk-SK" w:eastAsia="en-US" w:bidi="ar-SA"/>
        </w:rPr>
        <w:t>z hrubého príjmu</w:t>
      </w:r>
      <w:r>
        <w:rPr>
          <w:rFonts w:cs="Times New Roman"/>
          <w:szCs w:val="24"/>
        </w:rPr>
        <w:t>, čo pri súčasnom systéme predstavuje až 384 mil. eur ročne do systému verejného zdravotného poistenia poskytovanej zdravotnej starostlivosti. Počítame zároveň aj so znížením odvodov za zdravotné poistenie zamestnancov o 0,5 %, čo predstavuje úsporu pre zamestnancov až 177 mil. eur ročne.</w:t>
      </w:r>
    </w:p>
    <w:p>
      <w:pPr>
        <w:pStyle w:val="Normal"/>
        <w:spacing w:lineRule="auto" w:line="360"/>
        <w:jc w:val="both"/>
        <w:rPr/>
      </w:pPr>
      <w:r>
        <w:rPr>
          <w:rFonts w:cs="Times New Roman"/>
          <w:szCs w:val="24"/>
        </w:rPr>
        <w:t xml:space="preserve">Navrhované financovanie </w:t>
      </w:r>
      <w:r>
        <w:rPr>
          <w:rFonts w:eastAsia="Calibri" w:cs="Times New Roman" w:eastAsiaTheme="minorHAnsi"/>
          <w:color w:val="auto"/>
          <w:kern w:val="0"/>
          <w:sz w:val="24"/>
          <w:szCs w:val="24"/>
          <w:lang w:val="sk-SK" w:eastAsia="en-US" w:bidi="ar-SA"/>
        </w:rPr>
        <w:t>fondu odkázanosti</w:t>
      </w:r>
      <w:r>
        <w:rPr>
          <w:rFonts w:cs="Times New Roman"/>
          <w:szCs w:val="24"/>
        </w:rPr>
        <w:t xml:space="preserve"> preto predstavuje súbor opatrení, ktoré majú vo finálnom objeme zabezpečiť do systému potrebných 660,9 mil. eur, a to kombináciou nasledovných opatrení, vyjadrených aj finančne:</w:t>
      </w:r>
    </w:p>
    <w:tbl>
      <w:tblPr>
        <w:tblW w:w="986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1549"/>
        <w:gridCol w:w="1872"/>
        <w:gridCol w:w="2142"/>
        <w:gridCol w:w="4296"/>
      </w:tblGrid>
      <w:tr>
        <w:trPr>
          <w:trHeight w:val="615" w:hRule="atLeast"/>
        </w:trPr>
        <w:tc>
          <w:tcPr>
            <w:tcW w:w="1549" w:type="dxa"/>
            <w:tcBorders>
              <w:top w:val="single" w:sz="8" w:space="0" w:color="000000"/>
              <w:left w:val="single" w:sz="8" w:space="0" w:color="000000"/>
              <w:bottom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Sumarizácia</w:t>
            </w:r>
          </w:p>
        </w:tc>
        <w:tc>
          <w:tcPr>
            <w:tcW w:w="1872"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Náklady na prijímateľa ročne</w:t>
            </w:r>
          </w:p>
        </w:tc>
        <w:tc>
          <w:tcPr>
            <w:tcW w:w="2142"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Náklady na prijímateľa mesačne</w:t>
            </w:r>
          </w:p>
        </w:tc>
        <w:tc>
          <w:tcPr>
            <w:tcW w:w="4296"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 </w:t>
            </w:r>
          </w:p>
        </w:tc>
      </w:tr>
      <w:tr>
        <w:trPr>
          <w:trHeight w:val="300" w:hRule="atLeast"/>
        </w:trPr>
        <w:tc>
          <w:tcPr>
            <w:tcW w:w="1549" w:type="dxa"/>
            <w:tcBorders>
              <w:left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550 575 882 €</w:t>
            </w:r>
          </w:p>
        </w:tc>
        <w:tc>
          <w:tcPr>
            <w:tcW w:w="187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8 905 €</w:t>
            </w:r>
          </w:p>
        </w:tc>
        <w:tc>
          <w:tcPr>
            <w:tcW w:w="2142"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742 €</w:t>
            </w:r>
          </w:p>
        </w:tc>
        <w:tc>
          <w:tcPr>
            <w:tcW w:w="4296"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MPSVaR (presun financií do zdravotníctva)</w:t>
            </w:r>
          </w:p>
        </w:tc>
      </w:tr>
      <w:tr>
        <w:trPr>
          <w:trHeight w:val="600" w:hRule="atLeast"/>
        </w:trPr>
        <w:tc>
          <w:tcPr>
            <w:tcW w:w="1549" w:type="dxa"/>
            <w:tcBorders>
              <w:left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104 317 423 €</w:t>
            </w:r>
          </w:p>
        </w:tc>
        <w:tc>
          <w:tcPr>
            <w:tcW w:w="187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1 687 €</w:t>
            </w:r>
          </w:p>
        </w:tc>
        <w:tc>
          <w:tcPr>
            <w:tcW w:w="2142"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141 €</w:t>
            </w:r>
          </w:p>
        </w:tc>
        <w:tc>
          <w:tcPr>
            <w:tcW w:w="4296"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Preplácanie ošetrovateľských výkonov zo zdravotného poistenia</w:t>
            </w:r>
          </w:p>
        </w:tc>
      </w:tr>
      <w:tr>
        <w:trPr>
          <w:trHeight w:val="600" w:hRule="atLeast"/>
        </w:trPr>
        <w:tc>
          <w:tcPr>
            <w:tcW w:w="1549" w:type="dxa"/>
            <w:tcBorders>
              <w:left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-201 000 000 €</w:t>
            </w:r>
          </w:p>
        </w:tc>
        <w:tc>
          <w:tcPr>
            <w:tcW w:w="187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- 3 249 €</w:t>
            </w:r>
          </w:p>
        </w:tc>
        <w:tc>
          <w:tcPr>
            <w:tcW w:w="2142"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- 271 €</w:t>
            </w:r>
          </w:p>
        </w:tc>
        <w:tc>
          <w:tcPr>
            <w:tcW w:w="4296"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cs="Times New Roman"/>
                <w:b/>
                <w:b/>
                <w:bCs/>
              </w:rPr>
            </w:pPr>
            <w:r>
              <w:rPr>
                <w:rFonts w:eastAsia="Times New Roman" w:cs="Times New Roman"/>
                <w:b/>
                <w:bCs/>
                <w:color w:val="000000"/>
                <w:sz w:val="22"/>
                <w:lang w:eastAsia="sk-SK"/>
              </w:rPr>
              <w:t xml:space="preserve">Zníženie </w:t>
            </w:r>
            <w:r>
              <w:rPr>
                <w:rFonts w:cs="Times New Roman"/>
                <w:b/>
                <w:bCs/>
                <w:sz w:val="22"/>
              </w:rPr>
              <w:t>dane z príjmov o 0,5 p. b. Na 18,5 % a úprava odpočítateľnej položky na osemnásobok minimálnej mzdy</w:t>
            </w:r>
          </w:p>
        </w:tc>
      </w:tr>
      <w:tr>
        <w:trPr>
          <w:trHeight w:val="300" w:hRule="atLeast"/>
        </w:trPr>
        <w:tc>
          <w:tcPr>
            <w:tcW w:w="1549" w:type="dxa"/>
            <w:tcBorders>
              <w:left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384 000 000 €</w:t>
            </w:r>
          </w:p>
        </w:tc>
        <w:tc>
          <w:tcPr>
            <w:tcW w:w="187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lang w:eastAsia="sk-SK"/>
              </w:rPr>
            </w:pPr>
            <w:r>
              <w:rPr>
                <w:rFonts w:eastAsia="Times New Roman" w:cs="Times New Roman"/>
                <w:b/>
                <w:bCs/>
                <w:color w:val="FF0000"/>
                <w:sz w:val="22"/>
                <w:lang w:eastAsia="sk-SK"/>
              </w:rPr>
              <w:t xml:space="preserve">6 207 </w:t>
            </w:r>
            <w:r>
              <w:rPr>
                <w:rFonts w:eastAsia="Times New Roman" w:cs="Times New Roman"/>
                <w:b/>
                <w:bCs/>
                <w:color w:val="000000"/>
                <w:sz w:val="22"/>
                <w:lang w:eastAsia="sk-SK"/>
              </w:rPr>
              <w:t>€</w:t>
            </w:r>
          </w:p>
        </w:tc>
        <w:tc>
          <w:tcPr>
            <w:tcW w:w="2142"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517 €</w:t>
            </w:r>
          </w:p>
        </w:tc>
        <w:tc>
          <w:tcPr>
            <w:tcW w:w="4296"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Nový fond odkázanosti 1,5 %</w:t>
            </w:r>
          </w:p>
        </w:tc>
      </w:tr>
      <w:tr>
        <w:trPr>
          <w:trHeight w:val="424" w:hRule="atLeast"/>
        </w:trPr>
        <w:tc>
          <w:tcPr>
            <w:tcW w:w="1549" w:type="dxa"/>
            <w:tcBorders>
              <w:left w:val="single" w:sz="8" w:space="0" w:color="000000"/>
              <w:bottom w:val="single" w:sz="4"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-177 000 000 €</w:t>
            </w:r>
          </w:p>
        </w:tc>
        <w:tc>
          <w:tcPr>
            <w:tcW w:w="1872" w:type="dxa"/>
            <w:tcBorders>
              <w:left w:val="single" w:sz="8" w:space="0" w:color="000000"/>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- 2 861 €</w:t>
            </w:r>
          </w:p>
        </w:tc>
        <w:tc>
          <w:tcPr>
            <w:tcW w:w="2142"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FF0000"/>
                <w:sz w:val="22"/>
                <w:lang w:eastAsia="sk-SK"/>
              </w:rPr>
            </w:pPr>
            <w:r>
              <w:rPr>
                <w:rFonts w:eastAsia="Times New Roman" w:cs="Times New Roman"/>
                <w:b/>
                <w:bCs/>
                <w:color w:val="FF0000"/>
                <w:sz w:val="22"/>
                <w:lang w:eastAsia="sk-SK"/>
              </w:rPr>
              <w:t>-238 €</w:t>
            </w:r>
          </w:p>
        </w:tc>
        <w:tc>
          <w:tcPr>
            <w:tcW w:w="4296" w:type="dxa"/>
            <w:tcBorders>
              <w:bottom w:val="single" w:sz="4"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Pokles odvodu zdravotného poistenia o 0,5 %</w:t>
            </w:r>
          </w:p>
        </w:tc>
      </w:tr>
      <w:tr>
        <w:trPr>
          <w:trHeight w:val="315" w:hRule="atLeast"/>
        </w:trPr>
        <w:tc>
          <w:tcPr>
            <w:tcW w:w="1549" w:type="dxa"/>
            <w:tcBorders>
              <w:left w:val="single" w:sz="8" w:space="0" w:color="000000"/>
              <w:bottom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660 893 305 €</w:t>
            </w:r>
          </w:p>
        </w:tc>
        <w:tc>
          <w:tcPr>
            <w:tcW w:w="1872"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10 682€</w:t>
            </w:r>
          </w:p>
        </w:tc>
        <w:tc>
          <w:tcPr>
            <w:tcW w:w="2142"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Times New Roman"/>
                <w:b/>
                <w:b/>
                <w:bCs/>
                <w:color w:val="000000"/>
                <w:sz w:val="22"/>
                <w:lang w:eastAsia="sk-SK"/>
              </w:rPr>
            </w:pPr>
            <w:r>
              <w:rPr>
                <w:rFonts w:eastAsia="Times New Roman" w:cs="Times New Roman"/>
                <w:b/>
                <w:bCs/>
                <w:color w:val="000000"/>
                <w:sz w:val="22"/>
                <w:lang w:eastAsia="sk-SK"/>
              </w:rPr>
              <w:t>890 €</w:t>
            </w:r>
          </w:p>
        </w:tc>
        <w:tc>
          <w:tcPr>
            <w:tcW w:w="4296" w:type="dxa"/>
            <w:tcBorders>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Times New Roman"/>
                <w:b/>
                <w:b/>
                <w:bCs/>
                <w:color w:val="000000"/>
                <w:sz w:val="22"/>
                <w:lang w:eastAsia="sk-SK"/>
              </w:rPr>
            </w:pPr>
            <w:r>
              <w:rPr>
                <w:rFonts w:eastAsia="Times New Roman" w:cs="Times New Roman"/>
                <w:b/>
                <w:bCs/>
                <w:color w:val="000000"/>
                <w:sz w:val="22"/>
                <w:lang w:eastAsia="sk-SK"/>
              </w:rPr>
              <w:t>Opatrenia SPOLU +/-</w:t>
            </w:r>
          </w:p>
        </w:tc>
      </w:tr>
    </w:tbl>
    <w:p>
      <w:pPr>
        <w:pStyle w:val="Normal"/>
        <w:spacing w:lineRule="auto" w:line="360"/>
        <w:jc w:val="both"/>
        <w:rPr>
          <w:rFonts w:cs="Times New Roman"/>
          <w:szCs w:val="24"/>
        </w:rPr>
      </w:pPr>
      <w:r>
        <w:rPr>
          <w:rFonts w:cs="Times New Roman"/>
          <w:szCs w:val="24"/>
        </w:rPr>
      </w:r>
    </w:p>
    <w:p>
      <w:pPr>
        <w:pStyle w:val="Normal"/>
        <w:spacing w:lineRule="auto" w:line="360"/>
        <w:jc w:val="both"/>
        <w:rPr>
          <w:rFonts w:ascii="Calibri" w:hAnsi="Calibri" w:asciiTheme="minorHAnsi" w:hAnsiTheme="minorHAnsi"/>
          <w:sz w:val="22"/>
        </w:rPr>
      </w:pPr>
      <w:r>
        <w:rPr/>
        <w:drawing>
          <wp:inline distT="0" distB="0" distL="0" distR="0">
            <wp:extent cx="6257925" cy="3943350"/>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fldChar w:fldCharType="begin"/>
      </w:r>
      <w:r>
        <w:rPr/>
        <w:instrText>LINK Excel.Sheet.12 "C:\\Users\\Martin Halás\\Desktop\\IZ\\IZ analytika.xlsx" Sumarizácia!R15C3:R21C4 \a \f 4 \h  \* MERGEFORMAT</w:instrText>
      </w:r>
      <w:r>
        <w:rPr/>
      </w:r>
      <w:r>
        <w:rPr/>
        <w:fldChar w:fldCharType="separate"/>
      </w:r>
      <w:r>
        <w:rPr/>
      </w:r>
    </w:p>
    <w:p>
      <w:pPr>
        <w:pStyle w:val="Heading2"/>
        <w:numPr>
          <w:ilvl w:val="1"/>
          <w:numId w:val="2"/>
        </w:numPr>
        <w:rPr/>
      </w:pPr>
      <w:r>
        <w:rPr/>
      </w:r>
      <w:r>
        <w:rPr/>
        <w:fldChar w:fldCharType="end"/>
      </w:r>
      <w:r>
        <w:rPr/>
        <w:t>Záver</w:t>
      </w:r>
    </w:p>
    <w:p>
      <w:pPr>
        <w:pStyle w:val="Normal"/>
        <w:spacing w:lineRule="auto" w:line="360"/>
        <w:ind w:firstLine="708"/>
        <w:jc w:val="both"/>
        <w:rPr/>
      </w:pPr>
      <w:r>
        <w:rPr>
          <w:rFonts w:cs="Times New Roman"/>
          <w:szCs w:val="24"/>
        </w:rPr>
        <w:t>Starnutie populácie vedie k predpokladanému zvýšeniu verejných výdavkov na dlhodobú starostlivosť minimálne o ďalších 1,7 % HDP pre členské krajiny EÚ. Dôvodom je jednak starnutie, jednak väčší absolútny počet osôb s ťažkým zdravotným postihnutím a zvýšenie závislosti od potreby služieb dlhodobej starostlivosti. Zvyšovanie výdajov na dlhodobú starostlivosť bude v budúcnosti tým vyššie, čím rýchlejší bude proces starnutia. Budúca skutočná výška verejných výdavkov na dlhodobú starostlivosť nebude závisieť iba od samotnej skutočnosti, že populácia starne, ale aj od poskytovanej zdravotnej starostlivosti a jej kvality v ďalších rokoch.</w:t>
      </w:r>
    </w:p>
    <w:p>
      <w:pPr>
        <w:pStyle w:val="Normal"/>
        <w:spacing w:lineRule="auto" w:line="360"/>
        <w:ind w:firstLine="708"/>
        <w:jc w:val="both"/>
        <w:rPr/>
      </w:pPr>
      <w:r>
        <w:rPr>
          <w:rFonts w:cs="Times New Roman"/>
          <w:szCs w:val="24"/>
        </w:rPr>
        <w:t>Politické rozhodnutia týkajúce sa zmien v poskytovaní dlhodobej starostlivosti budú mať značný vplyv budúci vývoj verejných výdavkov na dlhodobú starostlivosť. Zmeny demografickej štruktúry populácie a vysoké očakávania obyvateľstva môžu viesť k ďalšiemu tlaku na zvýšenie % podielu HDP na poskytovanie služieb dlhodobej starostlivosti v budúcnosti. Zároveň sa očakávajú sociálno-ekonomické trendy spojené so zmenami v rodinných štruktúrach, životných úpravách (menšie rodiny, izolovanejšie osoby) a mobilite (vzdialenejšie bývanie), ktoré budú znižovať možnosti pre závislé osoby, ktoré v súčasnosti dostávajú potrebnú podporu od rodiny (zníženie dodávok neformálnej starostlivosti). V kombinácii s rastúcim očakávaním populácie o ďalšie rozsiahle poskytovanie formálnych a kvalitných služieb dlhodobej starostlivosti, ktoré môžu pomôcť zvýšiť kvalitu života, môže viesť k zvyšovaniu verejných výdavkov.</w:t>
      </w:r>
    </w:p>
    <w:p>
      <w:pPr>
        <w:pStyle w:val="Normal"/>
        <w:spacing w:lineRule="auto" w:line="360"/>
        <w:ind w:firstLine="708"/>
        <w:jc w:val="both"/>
        <w:rPr/>
      </w:pPr>
      <w:r>
        <w:rPr>
          <w:rFonts w:cs="Times New Roman"/>
          <w:szCs w:val="24"/>
        </w:rPr>
        <w:t>Ďalej sa predpokladá konvergencia mier krytia závislých osôb populácie – predpokladá sa, že príde v dôsledku starnutia v kombinácii s rastom očakávania, najmä v tých krajinách, kde je miera krytia relatívne nižšia, zvýšenie verejných výdavkov na dlhodobú starostlivosť o ďalších 1,7 % HDP.</w:t>
      </w:r>
    </w:p>
    <w:p>
      <w:pPr>
        <w:pStyle w:val="Normal"/>
        <w:spacing w:lineRule="auto" w:line="360"/>
        <w:ind w:firstLine="708"/>
        <w:jc w:val="both"/>
        <w:rPr/>
      </w:pPr>
      <w:r>
        <w:rPr>
          <w:rFonts w:cs="Times New Roman"/>
          <w:szCs w:val="24"/>
        </w:rPr>
        <w:t>Budúce verejné výdavky na dlhodobú starostlivosť môžu závisieť nielen od zvýšeného dopytu po dlhodobej starostlivosti a zvýšenia nákladov na poskytovanie dlhodobej starostlivosti, ako napríklad zvýšenie miezd v odvetví náročnom na pracovnú silu, ako je sektor dlhodobej starostlivosti. Výsledky odhadov výdajov na dlhodobú starostlivosť sa pohybujú medzi zvýšeniami +1,7 % („scenár oneskorenej závislosti“) až po +3,2 % HDP (pre „scenár konvergencie pokrytia“) v nasledujúcich 50 rokoch</w:t>
      </w:r>
      <w:r>
        <w:rPr>
          <w:rStyle w:val="FootnoteAnchor"/>
          <w:rFonts w:cs="Times New Roman"/>
          <w:szCs w:val="24"/>
        </w:rPr>
        <w:footnoteReference w:id="4"/>
      </w:r>
      <w:r>
        <w:rPr>
          <w:rFonts w:cs="Times New Roman"/>
          <w:szCs w:val="24"/>
        </w:rPr>
        <w:t>.</w:t>
      </w:r>
    </w:p>
    <w:p>
      <w:pPr>
        <w:pStyle w:val="Normal"/>
        <w:spacing w:lineRule="auto" w:line="360"/>
        <w:jc w:val="both"/>
        <w:rPr/>
      </w:pPr>
      <w:r>
        <w:rPr>
          <w:rFonts w:cs="Times New Roman"/>
          <w:szCs w:val="24"/>
        </w:rPr>
        <w:tab/>
        <w:t>V tejto súvislosti a vzhľadom na vyššie uvedené faktory čelia krajiny EÚ, aj Slovensko, tlaku na zvýšenie poskytovania dlhodobej starostlivosti vo všetkých formách. Krajiny budú musieť reagovať primeranými a udržateľnými politickými rozhodnutiami, ktoré sa môžu líšiť od tých, ktoré sa dnes predpokladajú. Vzhľadom na významný vplyv budúcich výdajov na dlhodobú starostlivosť na verejné financie je potrebné vyvinúť nákladovo efektívnejšie spôsoby poskytovania dlhodobej starostlivosť s prihliadnutím na efektivitu, sociálne práva a zabezpečenie potrebnej starostlivosti.</w:t>
      </w:r>
    </w:p>
    <w:p>
      <w:pPr>
        <w:pStyle w:val="Normal"/>
        <w:spacing w:lineRule="auto" w:line="360"/>
        <w:ind w:firstLine="708"/>
        <w:jc w:val="both"/>
        <w:rPr/>
      </w:pPr>
      <w:r>
        <w:rPr>
          <w:rFonts w:cs="Times New Roman"/>
          <w:szCs w:val="24"/>
        </w:rPr>
        <w:t>Predpokladané zvýšenie verejných výdavkov na dlhodobú starostlivosť bude v porovnaní so súčasnosťou predstavovať významnú časť verejných výdavkov s prihliadnutím aj na zabezpečenie dlhodobej udržateľnosti verejných financií. Zdôrazňujeme aj potrebnú prípravu na vplyvy a dôsledky pokračujúceho starnutia populácie, ktoré sa v oblasti dlhodobej starostlivosti bude prejavovať silnejšie ako v oblasti akútnej, liečebnej starostlivosti. Predovšetkým je potrebné preskúmať možný dopad investícií do dlhodobej starostlivosti na budúcu úroveň výdavkov na zdravotnú starostlivosť, ako faktora, ktorý bude významnejšie napĺňať potreby jeho užívateľov – obyvateľov, takisto ako dôraz na prevenciu a lepšie následné opatrenia, ktoré nám pomôžu vyhnúť sa použitiu akútnejších, drahších druhov starostlivosti.</w:t>
      </w:r>
    </w:p>
    <w:p>
      <w:pPr>
        <w:pStyle w:val="Normal"/>
        <w:spacing w:lineRule="auto" w:line="360"/>
        <w:ind w:firstLine="708"/>
        <w:jc w:val="both"/>
        <w:rPr/>
      </w:pPr>
      <w:r>
        <w:rPr>
          <w:rFonts w:cs="Times New Roman"/>
          <w:szCs w:val="24"/>
        </w:rPr>
        <w:t>Výsledné, nami navrhované opatrenia predstavujú súbor spolu súvisiacich opatrení, ktoré sme aj kvantifikovali s ohľadom na posledné dostupné oficiálne údaje. Navrhovanú filozofiu so zavedením nov</w:t>
      </w:r>
      <w:r>
        <w:rPr>
          <w:rFonts w:eastAsia="Calibri" w:cs="Times New Roman" w:eastAsiaTheme="minorHAnsi"/>
          <w:color w:val="auto"/>
          <w:kern w:val="0"/>
          <w:sz w:val="24"/>
          <w:szCs w:val="24"/>
          <w:lang w:val="sk-SK" w:eastAsia="en-US" w:bidi="ar-SA"/>
        </w:rPr>
        <w:t>ého fondu odkázanosti</w:t>
      </w:r>
      <w:r>
        <w:rPr>
          <w:rFonts w:cs="Times New Roman"/>
          <w:szCs w:val="24"/>
        </w:rPr>
        <w:t xml:space="preserve"> spoločne so zobratím kompetencií, a tým aj financií municipalitám považujeme za základ novo navrhovaného systému. Súvisiace opatrenia s poklesom z </w:t>
      </w:r>
      <w:r>
        <w:rPr>
          <w:rFonts w:eastAsia="Times New Roman" w:cs="Times New Roman"/>
          <w:szCs w:val="24"/>
          <w:lang w:eastAsia="sk-SK"/>
        </w:rPr>
        <w:t xml:space="preserve">odvodu zdravotného poistenia o 0,25 % a plným </w:t>
      </w:r>
      <w:r>
        <w:rPr>
          <w:rFonts w:eastAsia="Times New Roman" w:cs="Times New Roman"/>
          <w:color w:val="000000"/>
          <w:szCs w:val="24"/>
          <w:lang w:eastAsia="sk-SK"/>
        </w:rPr>
        <w:t>preplácaním ošetrovateľských výkonov zo zdravotného poistenia sú takisto vzhľadom na požadovaný mix opatrení vzhľadom na silné „politikum“ tejto témy podľa nás žiaduce, avšak,</w:t>
      </w:r>
      <w:r>
        <w:rPr>
          <w:rFonts w:eastAsia="Times New Roman" w:cs="Times New Roman"/>
          <w:color w:val="000000"/>
          <w:szCs w:val="24"/>
          <w:shd w:fill="auto" w:val="clear"/>
          <w:lang w:eastAsia="sk-SK"/>
        </w:rPr>
        <w:t xml:space="preserve"> je možné ich zavádzať postupne.</w:t>
      </w:r>
    </w:p>
    <w:p>
      <w:pPr>
        <w:pStyle w:val="Normal"/>
        <w:spacing w:lineRule="auto" w:line="360"/>
        <w:ind w:firstLine="708"/>
        <w:jc w:val="both"/>
        <w:rPr/>
      </w:pPr>
      <w:r>
        <w:rPr>
          <w:rFonts w:eastAsia="Times New Roman" w:cs="Times New Roman"/>
          <w:color w:val="000000"/>
          <w:szCs w:val="24"/>
          <w:lang w:eastAsia="sk-SK"/>
        </w:rPr>
        <w:t>Veríme, že priblíženie sa ku krajinám, ktoré majú rovnaký alebo podobný systém pre starostlivosť o dlhodobo odkázaných už viac ako 10 rokov, pomôže výrazným spôsobom vylepšiť kvalitu života odkázaných osôb a ich rodín.</w:t>
      </w:r>
    </w:p>
    <w:p>
      <w:pPr>
        <w:pStyle w:val="Normal"/>
        <w:spacing w:lineRule="auto" w:line="360"/>
        <w:ind w:firstLine="708"/>
        <w:jc w:val="both"/>
        <w:rPr>
          <w:rFonts w:eastAsia="Times New Roman" w:cs="Times New Roman"/>
          <w:color w:val="000000"/>
          <w:szCs w:val="24"/>
          <w:lang w:eastAsia="sk-SK"/>
        </w:rPr>
      </w:pPr>
      <w:r>
        <w:rPr>
          <w:rFonts w:eastAsia="Times New Roman" w:cs="Times New Roman"/>
          <w:color w:val="000000"/>
          <w:szCs w:val="24"/>
          <w:lang w:eastAsia="sk-SK"/>
        </w:rPr>
      </w:r>
    </w:p>
    <w:p>
      <w:pPr>
        <w:pStyle w:val="Normal"/>
        <w:spacing w:lineRule="auto" w:line="360"/>
        <w:jc w:val="both"/>
        <w:rPr>
          <w:rFonts w:cs="Calibri"/>
          <w:szCs w:val="24"/>
        </w:rPr>
      </w:pPr>
      <w:r>
        <w:rPr>
          <w:rFonts w:cs="Calibri"/>
          <w:szCs w:val="24"/>
        </w:rPr>
        <w:t xml:space="preserve">viac o starnutí populácie: </w:t>
      </w:r>
      <w:r>
        <w:rPr>
          <w:rStyle w:val="InternetLink"/>
          <w:rFonts w:cs="Calibri"/>
          <w:szCs w:val="24"/>
        </w:rPr>
        <w:t>https://www.iz.sk/sk/projekty/starnutie-populacie</w:t>
      </w:r>
    </w:p>
    <w:p>
      <w:pPr>
        <w:pStyle w:val="Normal"/>
        <w:spacing w:lineRule="auto" w:line="360"/>
        <w:jc w:val="both"/>
        <w:rPr>
          <w:rFonts w:cs="Calibri"/>
          <w:szCs w:val="24"/>
        </w:rPr>
      </w:pPr>
      <w:r>
        <w:rPr>
          <w:rFonts w:cs="Calibri"/>
          <w:szCs w:val="24"/>
        </w:rPr>
        <w:t xml:space="preserve">prehľad dlhodobej starostlivosti: </w:t>
      </w:r>
      <w:hyperlink r:id="rId14">
        <w:r>
          <w:rPr>
            <w:rStyle w:val="InternetLink"/>
            <w:rFonts w:cs="Calibri"/>
            <w:szCs w:val="24"/>
          </w:rPr>
          <w:t>https://www.iz.sk/download-files/sk/evs/dlhodoba-starostlivost-prehlad</w:t>
        </w:r>
      </w:hyperlink>
      <w:r>
        <w:rPr>
          <w:rFonts w:cs="Calibri"/>
          <w:szCs w:val="24"/>
        </w:rPr>
        <w:t xml:space="preserve"> </w:t>
      </w:r>
    </w:p>
    <w:p>
      <w:pPr>
        <w:pStyle w:val="Normal"/>
        <w:spacing w:lineRule="auto" w:line="360"/>
        <w:jc w:val="both"/>
        <w:rPr>
          <w:rFonts w:cs="Calibri"/>
          <w:szCs w:val="24"/>
        </w:rPr>
      </w:pPr>
      <w:r>
        <w:rPr>
          <w:rFonts w:cs="Calibri"/>
          <w:szCs w:val="24"/>
        </w:rPr>
        <w:t xml:space="preserve">financovanie dlhodobej starostlivosti: </w:t>
      </w:r>
      <w:r>
        <w:rPr>
          <w:rStyle w:val="InternetLink"/>
          <w:rFonts w:cs="Calibri"/>
          <w:szCs w:val="24"/>
        </w:rPr>
        <w:t>https://www.iz.sk/download-files/sk/evs/dlhodoba-starostlivost-financovanie</w:t>
      </w:r>
    </w:p>
    <w:p>
      <w:pPr>
        <w:pStyle w:val="Normal"/>
        <w:spacing w:lineRule="auto" w:line="360"/>
        <w:jc w:val="both"/>
        <w:rPr>
          <w:rFonts w:cs="Calibri"/>
          <w:szCs w:val="24"/>
        </w:rPr>
      </w:pPr>
      <w:r>
        <w:rPr>
          <w:rFonts w:cs="Calibri"/>
          <w:szCs w:val="24"/>
        </w:rPr>
      </w:r>
    </w:p>
    <w:p>
      <w:pPr>
        <w:pStyle w:val="Normal"/>
        <w:shd w:val="clear" w:color="auto" w:fill="FFFFFF"/>
        <w:spacing w:lineRule="auto" w:line="360" w:before="0" w:after="0"/>
        <w:jc w:val="both"/>
        <w:rPr/>
      </w:pPr>
      <w:r>
        <w:rPr/>
        <w:drawing>
          <wp:inline distT="0" distB="0" distL="0" distR="0">
            <wp:extent cx="2397760" cy="799465"/>
            <wp:effectExtent l="0" t="0" r="0" b="0"/>
            <wp:docPr id="13"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logo projektu"/>
                    <pic:cNvPicPr>
                      <a:picLocks noChangeAspect="1" noChangeArrowheads="1"/>
                    </pic:cNvPicPr>
                  </pic:nvPicPr>
                  <pic:blipFill>
                    <a:blip r:embed="rId15"/>
                    <a:stretch>
                      <a:fillRect/>
                    </a:stretch>
                  </pic:blipFill>
                  <pic:spPr bwMode="auto">
                    <a:xfrm>
                      <a:off x="0" y="0"/>
                      <a:ext cx="2397760" cy="799465"/>
                    </a:xfrm>
                    <a:prstGeom prst="rect">
                      <a:avLst/>
                    </a:prstGeom>
                  </pic:spPr>
                </pic:pic>
              </a:graphicData>
            </a:graphic>
          </wp:inline>
        </w:drawing>
      </w:r>
    </w:p>
    <w:p>
      <w:pPr>
        <w:pStyle w:val="Normal"/>
        <w:shd w:val="clear" w:color="auto" w:fill="FFFFFF"/>
        <w:spacing w:lineRule="auto" w:line="360" w:before="0" w:after="0"/>
        <w:jc w:val="both"/>
        <w:rPr/>
      </w:pPr>
      <w:r>
        <w:rPr>
          <w:rFonts w:cs="Calibri"/>
          <w:color w:val="000000"/>
          <w:sz w:val="20"/>
          <w:szCs w:val="20"/>
        </w:rPr>
        <w:t>Tento článok je súčasťou projektu </w:t>
      </w:r>
      <w:hyperlink r:id="rId16">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17">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1"/>
        <w:spacing w:lineRule="auto" w:line="360" w:before="0" w:after="140"/>
        <w:jc w:val="both"/>
        <w:rPr/>
      </w:pPr>
      <w:r>
        <w:rPr>
          <w:rFonts w:cs="Calibri" w:ascii="Calibri" w:hAnsi="Calibri"/>
          <w:b/>
          <w:bCs/>
          <w:i w:val="false"/>
          <w:color w:val="000000"/>
          <w:sz w:val="20"/>
          <w:szCs w:val="20"/>
        </w:rPr>
        <w:t>Aktivita:</w:t>
      </w:r>
      <w:r>
        <w:rPr>
          <w:rFonts w:cs="Calibri" w:ascii="Calibri" w:hAnsi="Calibri"/>
          <w:i w:val="false"/>
          <w:color w:val="000000"/>
          <w:sz w:val="20"/>
          <w:szCs w:val="20"/>
        </w:rPr>
        <w:t xml:space="preserve"> Starnutie populácie, 2020</w:t>
      </w:r>
    </w:p>
    <w:p>
      <w:pPr>
        <w:pStyle w:val="Caption1"/>
        <w:spacing w:lineRule="auto" w:line="360" w:before="0" w:after="140"/>
        <w:jc w:val="both"/>
        <w:rPr/>
      </w:pPr>
      <w:r>
        <w:rPr>
          <w:rFonts w:cs="Calibri" w:ascii="Calibri" w:hAnsi="Calibri"/>
          <w:b/>
          <w:bCs/>
          <w:i w:val="false"/>
          <w:color w:val="000000"/>
          <w:sz w:val="20"/>
          <w:szCs w:val="20"/>
        </w:rPr>
        <w:t>Merateľný ukazovateľ:</w:t>
      </w:r>
      <w:r>
        <w:rPr>
          <w:rFonts w:cs="Calibri" w:ascii="Calibri" w:hAnsi="Calibri"/>
          <w:i w:val="false"/>
          <w:color w:val="000000"/>
          <w:sz w:val="20"/>
          <w:szCs w:val="20"/>
        </w:rPr>
        <w:t xml:space="preserve"> P0178</w:t>
      </w:r>
    </w:p>
    <w:p>
      <w:pPr>
        <w:pStyle w:val="Heading3"/>
        <w:numPr>
          <w:ilvl w:val="0"/>
          <w:numId w:val="0"/>
        </w:numPr>
        <w:spacing w:lineRule="auto" w:line="360" w:before="140" w:after="120"/>
        <w:ind w:left="0" w:right="23" w:hanging="0"/>
        <w:jc w:val="both"/>
        <w:rPr/>
      </w:pPr>
      <w:r>
        <w:rPr>
          <w:rFonts w:cs="Calibri" w:ascii="Calibri" w:hAnsi="Calibri"/>
          <w:sz w:val="20"/>
          <w:szCs w:val="20"/>
        </w:rPr>
        <w:t xml:space="preserve">Súvis s projektom: </w:t>
      </w:r>
      <w:r>
        <w:rPr>
          <w:rFonts w:eastAsia="Liberation Sans" w:cs="Calibri" w:ascii="Calibri" w:hAnsi="Calibri"/>
          <w:b w:val="false"/>
          <w:sz w:val="20"/>
          <w:szCs w:val="20"/>
          <w:lang w:eastAsia="sk-SK"/>
        </w:rPr>
        <w:t>Tento koncepčný materiál</w:t>
      </w:r>
      <w:r>
        <w:rPr>
          <w:rFonts w:cs="Calibri" w:ascii="Calibri" w:hAnsi="Calibri"/>
          <w:b w:val="false"/>
          <w:sz w:val="20"/>
          <w:szCs w:val="20"/>
        </w:rPr>
        <w:t xml:space="preserve"> súvisí s a</w:t>
      </w:r>
      <w:r>
        <w:rPr>
          <w:rFonts w:eastAsia="Calibri" w:cs="Calibri" w:ascii="Calibri" w:hAnsi="Calibri"/>
          <w:b w:val="false"/>
          <w:sz w:val="20"/>
          <w:szCs w:val="20"/>
        </w:rPr>
        <w:t xml:space="preserve">ktivitou 1, starnutie populácie. </w:t>
      </w:r>
      <w:r>
        <w:rPr>
          <w:rFonts w:eastAsia="Calibri" w:cs="Times New Roman" w:ascii="Calibri" w:hAnsi="Calibri"/>
          <w:b w:val="false"/>
          <w:sz w:val="20"/>
          <w:szCs w:val="24"/>
        </w:rPr>
        <w:t xml:space="preserve">Základom koncepcie financovania dlhodobej starostlivosti je zavedenie nového </w:t>
      </w:r>
      <w:r>
        <w:rPr>
          <w:rFonts w:eastAsia="Calibri" w:cs="Times New Roman" w:ascii="Calibri" w:hAnsi="Calibri" w:eastAsiaTheme="minorHAnsi"/>
          <w:b w:val="false"/>
          <w:bCs/>
          <w:color w:val="auto"/>
          <w:kern w:val="0"/>
          <w:sz w:val="20"/>
          <w:szCs w:val="24"/>
          <w:lang w:val="sk-SK" w:eastAsia="en-US" w:bidi="ar-SA"/>
        </w:rPr>
        <w:t>fondu odkázanosti, ktorý bude komplexne financovať dlhodobú starostlivosť</w:t>
      </w:r>
      <w:r>
        <w:rPr>
          <w:rFonts w:eastAsia="Calibri" w:cs="Times New Roman" w:ascii="Calibri" w:hAnsi="Calibri"/>
          <w:b w:val="false"/>
          <w:sz w:val="20"/>
          <w:szCs w:val="24"/>
        </w:rPr>
        <w:t xml:space="preserve"> . </w:t>
      </w:r>
      <w:r>
        <w:rPr>
          <w:rFonts w:eastAsia="Calibri" w:cs="Times New Roman" w:ascii="Calibri" w:hAnsi="Calibri" w:eastAsiaTheme="minorHAnsi"/>
          <w:b w:val="false"/>
          <w:sz w:val="20"/>
          <w:szCs w:val="24"/>
        </w:rPr>
        <w:t>S</w:t>
      </w:r>
      <w:r>
        <w:rPr>
          <w:rFonts w:eastAsia="Calibri" w:cs="Times New Roman" w:ascii="Calibri" w:hAnsi="Calibri"/>
          <w:b w:val="false"/>
          <w:sz w:val="20"/>
          <w:szCs w:val="24"/>
        </w:rPr>
        <w:t>o zvyšovaním odvodového zaťaženia uvažujeme o znížení dane z príjmu na 18,5 %. Zároveň sa ukotví preplácanie všetkých ošetrovateľských výkonov zo zdravotných poisťovní tak, ako je to pri poskytovateľoch zdravotnej starostlivosti. Dlhodobá starostlivosť bude prioritou, keďže starnutie populácie je alarmujúce a týka sa celej spoločnosti.</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Arial Narrow">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
        <w:spacing w:lineRule="auto" w:line="360" w:before="0" w:after="160"/>
        <w:rPr/>
      </w:pPr>
      <w:r>
        <w:rPr>
          <w:rStyle w:val="FootnoteCharacters"/>
        </w:rPr>
        <w:footnoteRef/>
      </w:r>
      <w:hyperlink r:id="rId1">
        <w:r>
          <w:rPr>
            <w:rStyle w:val="InternetLink"/>
            <w:sz w:val="20"/>
            <w:szCs w:val="20"/>
          </w:rPr>
          <w:t>https://www.employment.gov.sk/sk/ministerstvo/vyskum-oblasti-prace-socialnych-veci-institut-socialnej-politiky/spravy-socialnej-situacii-obyvatelstva/rok-2019.html</w:t>
        </w:r>
      </w:hyperlink>
    </w:p>
  </w:footnote>
  <w:footnote w:id="3">
    <w:p>
      <w:pPr>
        <w:pStyle w:val="Normal"/>
        <w:spacing w:lineRule="auto" w:line="360" w:before="0" w:after="160"/>
        <w:jc w:val="both"/>
        <w:rPr/>
      </w:pPr>
      <w:r>
        <w:rPr>
          <w:rStyle w:val="FootnoteCharacters"/>
        </w:rPr>
        <w:footnoteRef/>
      </w:r>
      <w:hyperlink r:id="rId2">
        <w:r>
          <w:rPr>
            <w:rStyle w:val="InternetLink"/>
            <w:rFonts w:cs="Times New Roman"/>
            <w:sz w:val="20"/>
            <w:szCs w:val="20"/>
          </w:rPr>
          <w:t>https://socialnipolitika.eu/2018/08/pocet-lidi-s-prispevkem-na-peci-v-obcich-2014-2017/</w:t>
        </w:r>
      </w:hyperlink>
    </w:p>
  </w:footnote>
  <w:footnote w:id="4">
    <w:p>
      <w:pPr>
        <w:pStyle w:val="Footnote"/>
        <w:rPr/>
      </w:pPr>
      <w:r>
        <w:rPr>
          <w:rStyle w:val="FootnoteCharacters"/>
        </w:rPr>
        <w:footnoteRef/>
      </w:r>
      <w:r>
        <w:rPr/>
        <w:t xml:space="preserve"> </w:t>
      </w:r>
      <w:hyperlink r:id="rId3">
        <w:r>
          <w:rPr>
            <w:rStyle w:val="InternetLink"/>
          </w:rPr>
          <w:t>https://ec.europa.eu/economy_finance/publications/economic_paper/2012/pdf/ecp469_en.pdf</w:t>
        </w:r>
      </w:hyperlink>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4af7"/>
    <w:pPr>
      <w:widowControl/>
      <w:suppressAutoHyphens w:val="true"/>
      <w:bidi w:val="0"/>
      <w:spacing w:before="0" w:after="160"/>
      <w:jc w:val="left"/>
    </w:pPr>
    <w:rPr>
      <w:rFonts w:ascii="Times New Roman" w:hAnsi="Times New Roman" w:eastAsia="Calibri" w:cs="" w:cstheme="minorBidi" w:eastAsiaTheme="minorHAnsi"/>
      <w:color w:val="auto"/>
      <w:kern w:val="0"/>
      <w:sz w:val="24"/>
      <w:szCs w:val="22"/>
      <w:lang w:val="sk-SK" w:eastAsia="en-US" w:bidi="ar-SA"/>
    </w:rPr>
  </w:style>
  <w:style w:type="paragraph" w:styleId="Heading1">
    <w:name w:val="Heading 1"/>
    <w:basedOn w:val="Normal"/>
    <w:next w:val="Normal"/>
    <w:link w:val="Nadpis1Char"/>
    <w:uiPriority w:val="9"/>
    <w:qFormat/>
    <w:rsid w:val="00d94af7"/>
    <w:pPr>
      <w:keepNext w:val="true"/>
      <w:keepLines/>
      <w:spacing w:before="480" w:after="24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d94af7"/>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InternetLink">
    <w:name w:val="Hyperlink"/>
    <w:rsid w:val="00d94af7"/>
    <w:rPr>
      <w:strike w:val="false"/>
      <w:dstrike w:val="false"/>
      <w:color w:val="A7090C"/>
      <w:u w:val="none"/>
    </w:rPr>
  </w:style>
  <w:style w:type="character" w:styleId="FootnoteCharacters" w:customStyle="1">
    <w:name w:val="Footnote Characters"/>
    <w:semiHidden/>
    <w:qFormat/>
    <w:rsid w:val="00d94af7"/>
    <w:rPr>
      <w:vertAlign w:val="superscript"/>
    </w:rPr>
  </w:style>
  <w:style w:type="character" w:styleId="FootnoteAnchor" w:customStyle="1">
    <w:name w:val="Footnote Anchor"/>
    <w:rPr>
      <w:vertAlign w:val="superscript"/>
    </w:rPr>
  </w:style>
  <w:style w:type="character" w:styleId="Annotationreference">
    <w:name w:val="annotation reference"/>
    <w:basedOn w:val="DefaultParagraphFont"/>
    <w:uiPriority w:val="99"/>
    <w:semiHidden/>
    <w:unhideWhenUsed/>
    <w:qFormat/>
    <w:rsid w:val="00d94af7"/>
    <w:rPr>
      <w:sz w:val="16"/>
      <w:szCs w:val="16"/>
    </w:rPr>
  </w:style>
  <w:style w:type="character" w:styleId="TextkomentraChar" w:customStyle="1">
    <w:name w:val="Text komentára Char"/>
    <w:basedOn w:val="DefaultParagraphFont"/>
    <w:link w:val="Textkomentra"/>
    <w:uiPriority w:val="99"/>
    <w:semiHidden/>
    <w:qFormat/>
    <w:rsid w:val="00d94af7"/>
    <w:rPr>
      <w:rFonts w:ascii="Times New Roman" w:hAnsi="Times New Roman"/>
      <w:sz w:val="20"/>
      <w:szCs w:val="20"/>
    </w:rPr>
  </w:style>
  <w:style w:type="character" w:styleId="IntenseEmphasis">
    <w:name w:val="Intense Emphasis"/>
    <w:uiPriority w:val="21"/>
    <w:qFormat/>
    <w:rsid w:val="00d94af7"/>
    <w:rPr>
      <w:rFonts w:ascii="Times New Roman" w:hAnsi="Times New Roman"/>
      <w:b/>
      <w:bCs/>
      <w:i/>
      <w:iCs/>
      <w:color w:val="0070C0"/>
      <w:sz w:val="24"/>
    </w:rPr>
  </w:style>
  <w:style w:type="character" w:styleId="TextpoznmkypodiarouChar" w:customStyle="1">
    <w:name w:val="Text poznámky pod čiarou Char"/>
    <w:basedOn w:val="DefaultParagraphFont"/>
    <w:link w:val="Textpoznmkypodiarou"/>
    <w:uiPriority w:val="99"/>
    <w:semiHidden/>
    <w:qFormat/>
    <w:rsid w:val="00d94af7"/>
    <w:rPr>
      <w:rFonts w:ascii="Times New Roman" w:hAnsi="Times New Roman"/>
      <w:sz w:val="20"/>
      <w:szCs w:val="20"/>
    </w:rPr>
  </w:style>
  <w:style w:type="character" w:styleId="TextbublinyChar" w:customStyle="1">
    <w:name w:val="Text bubliny Char"/>
    <w:basedOn w:val="DefaultParagraphFont"/>
    <w:link w:val="Textbubliny"/>
    <w:uiPriority w:val="99"/>
    <w:semiHidden/>
    <w:qFormat/>
    <w:rsid w:val="00d94af7"/>
    <w:rPr>
      <w:rFonts w:ascii="Segoe UI" w:hAnsi="Segoe UI" w:cs="Segoe UI"/>
      <w:sz w:val="18"/>
      <w:szCs w:val="18"/>
    </w:rPr>
  </w:style>
  <w:style w:type="character" w:styleId="ZvraznencitciaChar" w:customStyle="1">
    <w:name w:val="Zvýraznená citácia Char"/>
    <w:basedOn w:val="DefaultParagraphFont"/>
    <w:link w:val="Zvraznencitcia"/>
    <w:uiPriority w:val="30"/>
    <w:qFormat/>
    <w:rsid w:val="00ce3894"/>
    <w:rPr>
      <w:rFonts w:ascii="Times New Roman" w:hAnsi="Times New Roman"/>
      <w:b/>
      <w:bCs/>
      <w:i/>
      <w:iCs/>
      <w:color w:val="4472C4" w:themeColor="accent1"/>
      <w:sz w:val="24"/>
    </w:rPr>
  </w:style>
  <w:style w:type="character" w:styleId="PredmetkomentraChar" w:customStyle="1">
    <w:name w:val="Predmet komentára Char"/>
    <w:basedOn w:val="TextkomentraChar"/>
    <w:link w:val="Predmetkomentra"/>
    <w:uiPriority w:val="99"/>
    <w:semiHidden/>
    <w:qFormat/>
    <w:rsid w:val="00ce3894"/>
    <w:rPr>
      <w:rFonts w:ascii="Times New Roman" w:hAnsi="Times New Roman"/>
      <w:b/>
      <w:bCs/>
      <w:sz w:val="20"/>
      <w:szCs w:val="20"/>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UnresolvedMention">
    <w:name w:val="Unresolved Mention"/>
    <w:basedOn w:val="DefaultParagraphFont"/>
    <w:uiPriority w:val="99"/>
    <w:semiHidden/>
    <w:unhideWhenUsed/>
    <w:qFormat/>
    <w:rsid w:val="00ce4f8f"/>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Annotationtext">
    <w:name w:val="annotation text"/>
    <w:basedOn w:val="Normal"/>
    <w:link w:val="TextkomentraChar"/>
    <w:uiPriority w:val="99"/>
    <w:semiHidden/>
    <w:unhideWhenUsed/>
    <w:qFormat/>
    <w:rsid w:val="00d94af7"/>
    <w:pPr/>
    <w:rPr>
      <w:sz w:val="20"/>
      <w:szCs w:val="20"/>
    </w:rPr>
  </w:style>
  <w:style w:type="paragraph" w:styleId="Footnote">
    <w:name w:val="Footnote Text"/>
    <w:basedOn w:val="Normal"/>
    <w:link w:val="TextpoznmkypodiarouChar"/>
    <w:uiPriority w:val="99"/>
    <w:semiHidden/>
    <w:unhideWhenUsed/>
    <w:rsid w:val="00d94af7"/>
    <w:pPr>
      <w:spacing w:before="0" w:after="0"/>
    </w:pPr>
    <w:rPr>
      <w:sz w:val="20"/>
      <w:szCs w:val="20"/>
    </w:rPr>
  </w:style>
  <w:style w:type="paragraph" w:styleId="BalloonText">
    <w:name w:val="Balloon Text"/>
    <w:basedOn w:val="Normal"/>
    <w:link w:val="TextbublinyChar"/>
    <w:uiPriority w:val="99"/>
    <w:semiHidden/>
    <w:unhideWhenUsed/>
    <w:qFormat/>
    <w:rsid w:val="00d94af7"/>
    <w:pPr>
      <w:spacing w:before="0" w:after="0"/>
    </w:pPr>
    <w:rPr>
      <w:rFonts w:ascii="Segoe UI" w:hAnsi="Segoe UI" w:cs="Segoe UI"/>
      <w:sz w:val="18"/>
      <w:szCs w:val="18"/>
    </w:rPr>
  </w:style>
  <w:style w:type="paragraph" w:styleId="ListParagraph">
    <w:name w:val="List Paragraph"/>
    <w:basedOn w:val="Normal"/>
    <w:uiPriority w:val="34"/>
    <w:qFormat/>
    <w:rsid w:val="00c965e7"/>
    <w:pPr>
      <w:spacing w:before="0" w:after="160"/>
      <w:ind w:left="720" w:hanging="0"/>
      <w:contextualSpacing/>
    </w:pPr>
    <w:rPr/>
  </w:style>
  <w:style w:type="paragraph" w:styleId="IntenseQuote">
    <w:name w:val="Intense Quote"/>
    <w:basedOn w:val="Normal"/>
    <w:next w:val="Normal"/>
    <w:link w:val="ZvraznencitciaChar"/>
    <w:uiPriority w:val="30"/>
    <w:qFormat/>
    <w:rsid w:val="00ce3894"/>
    <w:pPr>
      <w:pBdr>
        <w:bottom w:val="single" w:sz="4" w:space="4" w:color="4472C4"/>
      </w:pBdr>
      <w:spacing w:before="200" w:after="280"/>
      <w:ind w:left="936" w:right="936" w:hanging="0"/>
    </w:pPr>
    <w:rPr>
      <w:b/>
      <w:bCs/>
      <w:i/>
      <w:iCs/>
      <w:color w:val="4472C4" w:themeColor="accent1"/>
    </w:rPr>
  </w:style>
  <w:style w:type="paragraph" w:styleId="Annotationsubject">
    <w:name w:val="annotation subject"/>
    <w:basedOn w:val="Annotationtext"/>
    <w:next w:val="Annotationtext"/>
    <w:link w:val="PredmetkomentraChar"/>
    <w:uiPriority w:val="99"/>
    <w:semiHidden/>
    <w:unhideWhenUsed/>
    <w:qFormat/>
    <w:rsid w:val="00ce3894"/>
    <w:pPr/>
    <w:rPr>
      <w:b/>
      <w:bCs/>
    </w:rPr>
  </w:style>
  <w:style w:type="paragraph" w:styleId="Revision">
    <w:name w:val="Revision"/>
    <w:uiPriority w:val="99"/>
    <w:semiHidden/>
    <w:qFormat/>
    <w:rsid w:val="00366156"/>
    <w:pPr>
      <w:widowControl/>
      <w:suppressAutoHyphens w:val="true"/>
      <w:bidi w:val="0"/>
      <w:spacing w:before="0" w:after="0"/>
      <w:jc w:val="left"/>
    </w:pPr>
    <w:rPr>
      <w:rFonts w:ascii="Times New Roman" w:hAnsi="Times New Roman" w:eastAsia="Calibri" w:cs="" w:cstheme="minorBidi" w:eastAsiaTheme="minorHAnsi"/>
      <w:color w:val="auto"/>
      <w:kern w:val="0"/>
      <w:sz w:val="24"/>
      <w:szCs w:val="22"/>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styleId="Mriekatabuky">
    <w:name w:val="Table Grid"/>
    <w:basedOn w:val="Normlnatabuka"/>
    <w:uiPriority w:val="39"/>
    <w:rsid w:val="00073d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chart" Target="charts/chart8.xml"/><Relationship Id="rId10" Type="http://schemas.openxmlformats.org/officeDocument/2006/relationships/chart" Target="charts/chart9.xml"/><Relationship Id="rId11" Type="http://schemas.openxmlformats.org/officeDocument/2006/relationships/chart" Target="charts/chart10.xml"/><Relationship Id="rId12" Type="http://schemas.openxmlformats.org/officeDocument/2006/relationships/chart" Target="charts/chart11.xml"/><Relationship Id="rId13" Type="http://schemas.openxmlformats.org/officeDocument/2006/relationships/chart" Target="charts/chart12.xml"/><Relationship Id="rId14" Type="http://schemas.openxmlformats.org/officeDocument/2006/relationships/hyperlink" Target="https://www.iz.sk/download-files/sk/evs/dlhodoba-starostlivost-prehlad" TargetMode="External"/><Relationship Id="rId15" Type="http://schemas.openxmlformats.org/officeDocument/2006/relationships/image" Target="media/image1.png"/><Relationship Id="rId16" Type="http://schemas.openxmlformats.org/officeDocument/2006/relationships/hyperlink" Target="https://www.iz.sk/sk/projekty/politiky-zamestnanosti" TargetMode="External"/><Relationship Id="rId17" Type="http://schemas.openxmlformats.org/officeDocument/2006/relationships/hyperlink" Target="http://www.minv.sk/?opevs" TargetMode="External"/><Relationship Id="rId18" Type="http://schemas.openxmlformats.org/officeDocument/2006/relationships/footnotes" Target="footnote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employment.gov.sk/sk/ministerstvo/vyskum-oblasti-prace-socialnych-veci-institut-socialnej-politiky/spravy-socialnej-situacii-obyvatelstva/rok-2019.html" TargetMode="External"/><Relationship Id="rId2" Type="http://schemas.openxmlformats.org/officeDocument/2006/relationships/hyperlink" Target="https://socialnipolitika.eu/2018/08/pocet-lidi-s-prispevkem-na-peci-v-obcich-2014-2017/" TargetMode="External"/><Relationship Id="rId3" Type="http://schemas.openxmlformats.org/officeDocument/2006/relationships/hyperlink" Target="https://ec.europa.eu/economy_finance/publications/economic_paper/2012/pdf/ecp469_en.pdf"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721875"/>
          <c:y val="0.0332222222222222"/>
          <c:w val="0.89525"/>
          <c:h val="0.670555555555556"/>
        </c:manualLayout>
      </c:layout>
      <c:pie3DChart>
        <c:varyColors val="1"/>
        <c:ser>
          <c:idx val="0"/>
          <c:order val="0"/>
          <c:tx>
            <c:strRef>
              <c:f>label 0</c:f>
              <c:strCache>
                <c:ptCount val="1"/>
                <c:pt idx="0">
                  <c:v>Series1</c:v>
                </c:pt>
              </c:strCache>
            </c:strRef>
          </c:tx>
          <c:spPr>
            <a:solidFill>
              <a:srgbClr val="faacbf"/>
            </a:solidFill>
            <a:ln w="25560">
              <a:solidFill>
                <a:srgbClr val="ffffff"/>
              </a:solidFill>
              <a:round/>
            </a:ln>
          </c:spPr>
          <c:explosion val="0"/>
          <c:dPt>
            <c:idx val="0"/>
            <c:spPr>
              <a:solidFill>
                <a:srgbClr val="004586"/>
              </a:solidFill>
              <a:ln w="25560">
                <a:solidFill>
                  <a:srgbClr val="ffffff"/>
                </a:solidFill>
                <a:round/>
              </a:ln>
            </c:spPr>
          </c:dPt>
          <c:dPt>
            <c:idx val="1"/>
            <c:spPr>
              <a:solidFill>
                <a:srgbClr val="b7194b"/>
              </a:solidFill>
              <a:ln w="25560">
                <a:solidFill>
                  <a:srgbClr val="ffffff"/>
                </a:solidFill>
                <a:round/>
              </a:ln>
            </c:spPr>
          </c:dPt>
          <c:dPt>
            <c:idx val="2"/>
            <c:spPr>
              <a:solidFill>
                <a:srgbClr val="e85e89"/>
              </a:solidFill>
              <a:ln w="25560">
                <a:solidFill>
                  <a:srgbClr val="ffffff"/>
                </a:solidFill>
                <a:round/>
              </a:ln>
            </c:spPr>
          </c:dPt>
          <c:dLbls>
            <c:numFmt formatCode="General" sourceLinked="0"/>
            <c:dLbl>
              <c:idx val="0"/>
              <c:numFmt formatCode="General" sourceLinked="0"/>
              <c:txPr>
                <a:bodyPr wrap="square"/>
                <a:lstStyle/>
                <a:p>
                  <a:pPr>
                    <a:defRPr b="1" lang="sk-SK" sz="1100" spc="-1" strike="noStrike">
                      <a:solidFill>
                        <a:srgbClr val="ffffff"/>
                      </a:solidFill>
                      <a:latin typeface="Arial Narrow"/>
                    </a:defRPr>
                  </a:pPr>
                </a:p>
              </c:txPr>
              <c:dLblPos val="bestFit"/>
              <c:showLegendKey val="0"/>
              <c:showVal val="1"/>
              <c:showCatName val="0"/>
              <c:showSerName val="0"/>
              <c:showPercent val="1"/>
              <c:separator>; </c:separator>
            </c:dLbl>
            <c:dLbl>
              <c:idx val="1"/>
              <c:numFmt formatCode="General" sourceLinked="0"/>
              <c:txPr>
                <a:bodyPr wrap="square"/>
                <a:lstStyle/>
                <a:p>
                  <a:pPr>
                    <a:defRPr b="1" lang="sk-SK" sz="1100" spc="-1" strike="noStrike">
                      <a:solidFill>
                        <a:srgbClr val="ffffff"/>
                      </a:solidFill>
                      <a:latin typeface="Arial Narrow"/>
                    </a:defRPr>
                  </a:pPr>
                </a:p>
              </c:txPr>
              <c:dLblPos val="bestFit"/>
              <c:showLegendKey val="0"/>
              <c:showVal val="1"/>
              <c:showCatName val="0"/>
              <c:showSerName val="0"/>
              <c:showPercent val="1"/>
              <c:separator>; </c:separator>
            </c:dLbl>
            <c:dLbl>
              <c:idx val="2"/>
              <c:numFmt formatCode="General" sourceLinked="0"/>
              <c:txPr>
                <a:bodyPr wrap="square"/>
                <a:lstStyle/>
                <a:p>
                  <a:pPr>
                    <a:defRPr b="1" lang="sk-SK" sz="1100" spc="-1" strike="noStrike">
                      <a:solidFill>
                        <a:srgbClr val="ffffff"/>
                      </a:solidFill>
                      <a:latin typeface="Arial Narrow"/>
                    </a:defRPr>
                  </a:pPr>
                </a:p>
              </c:txPr>
              <c:dLblPos val="bestFit"/>
              <c:showLegendKey val="0"/>
              <c:showVal val="1"/>
              <c:showCatName val="0"/>
              <c:showSerName val="0"/>
              <c:showPercent val="1"/>
              <c:separator>; </c:separator>
            </c:dLbl>
            <c:txPr>
              <a:bodyPr wrap="square"/>
              <a:lstStyle/>
              <a:p>
                <a:pPr>
                  <a:defRPr b="1" lang="sk-SK" sz="1100" spc="-1" strike="noStrike">
                    <a:solidFill>
                      <a:srgbClr val="ffffff"/>
                    </a:solidFill>
                    <a:latin typeface="Arial Narrow"/>
                  </a:defRPr>
                </a:pPr>
              </a:p>
            </c:txPr>
            <c:dLblPos val="bestFit"/>
            <c:showLegendKey val="0"/>
            <c:showVal val="1"/>
            <c:showCatName val="0"/>
            <c:showSerName val="0"/>
            <c:showPercent val="1"/>
            <c:separator>; </c:separator>
            <c:showLeaderLines val="0"/>
          </c:dLbls>
          <c:cat>
            <c:strRef>
              <c:f>categories</c:f>
              <c:strCache>
                <c:ptCount val="3"/>
                <c:pt idx="0">
                  <c:v>poskytovatelia zriadení alebo založení vyšším územným celkom</c:v>
                </c:pt>
                <c:pt idx="1">
                  <c:v>obce a poskytovatelia zriadení alebo založení obcou</c:v>
                </c:pt>
                <c:pt idx="2">
                  <c:v>neverejní poskytovatelia</c:v>
                </c:pt>
              </c:strCache>
            </c:strRef>
          </c:cat>
          <c:val>
            <c:numRef>
              <c:f>0</c:f>
              <c:numCache>
                <c:formatCode>General</c:formatCode>
                <c:ptCount val="3"/>
                <c:pt idx="0">
                  <c:v>697</c:v>
                </c:pt>
                <c:pt idx="1">
                  <c:v>2316</c:v>
                </c:pt>
                <c:pt idx="2">
                  <c:v>2439</c:v>
                </c:pt>
              </c:numCache>
            </c:numRef>
          </c:val>
        </c:ser>
      </c:pie3DChart>
    </c:plotArea>
    <c:legend>
      <c:legendPos val="b"/>
      <c:layout>
        <c:manualLayout>
          <c:xMode val="edge"/>
          <c:yMode val="edge"/>
          <c:x val="0.0491875"/>
          <c:y val="0.775666666666667"/>
          <c:w val="0.83786486655416"/>
          <c:h val="0.190243360373375"/>
        </c:manualLayout>
      </c:layout>
      <c:overlay val="0"/>
      <c:spPr>
        <a:noFill/>
        <a:ln w="0">
          <a:noFill/>
        </a:ln>
      </c:spPr>
      <c:txPr>
        <a:bodyPr/>
        <a:lstStyle/>
        <a:p>
          <a:pPr>
            <a:defRPr b="0" lang="sk-SK" sz="10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sk-SK" sz="1200" spc="-1" strike="noStrike">
                <a:solidFill>
                  <a:srgbClr val="595959"/>
                </a:solidFill>
                <a:latin typeface="Calibri"/>
              </a:defRPr>
            </a:pPr>
            <a:r>
              <a:rPr b="0" lang="sk-SK" sz="1200" spc="-1" strike="noStrike">
                <a:solidFill>
                  <a:srgbClr val="595959"/>
                </a:solidFill>
                <a:latin typeface="Calibri"/>
              </a:rPr>
              <a:t>Príjmy zo zdravotného poistenia za rok 2018</a:t>
            </a:r>
          </a:p>
        </c:rich>
      </c:tx>
      <c:layout>
        <c:manualLayout>
          <c:xMode val="edge"/>
          <c:yMode val="edge"/>
          <c:x val="0.173241987558075"/>
          <c:y val="0.0134334255235085"/>
        </c:manualLayout>
      </c:layout>
      <c:overlay val="0"/>
      <c:spPr>
        <a:noFill/>
        <a:ln w="0">
          <a:noFill/>
        </a:ln>
      </c:spPr>
    </c:title>
    <c:autoTitleDeleted val="0"/>
    <c:view3D>
      <c:rotX val="3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pie3DChart>
        <c:varyColors val="1"/>
        <c:ser>
          <c:idx val="0"/>
          <c:order val="0"/>
          <c:tx>
            <c:strRef>
              <c:f>label 0</c:f>
              <c:strCache>
                <c:ptCount val="1"/>
                <c:pt idx="0">
                  <c:v>Series1</c:v>
                </c:pt>
              </c:strCache>
            </c:strRef>
          </c:tx>
          <c:spPr>
            <a:solidFill>
              <a:srgbClr val="4472c4"/>
            </a:solidFill>
            <a:ln w="0">
              <a:noFill/>
            </a:ln>
          </c:spPr>
          <c:explosion val="0"/>
          <c:dPt>
            <c:idx val="0"/>
            <c:spPr>
              <a:solidFill>
                <a:srgbClr val="4472c4"/>
              </a:solidFill>
              <a:ln w="25560">
                <a:solidFill>
                  <a:srgbClr val="ffffff"/>
                </a:solidFill>
                <a:round/>
              </a:ln>
            </c:spPr>
          </c:dPt>
          <c:dPt>
            <c:idx val="1"/>
            <c:spPr>
              <a:solidFill>
                <a:srgbClr val="ed7d31"/>
              </a:solidFill>
              <a:ln w="25560">
                <a:solidFill>
                  <a:srgbClr val="ffffff"/>
                </a:solidFill>
                <a:round/>
              </a:ln>
            </c:spPr>
          </c:dPt>
          <c:dPt>
            <c:idx val="2"/>
            <c:spPr>
              <a:solidFill>
                <a:srgbClr val="a5a5a5"/>
              </a:solidFill>
              <a:ln w="25560">
                <a:solidFill>
                  <a:srgbClr val="ffffff"/>
                </a:solidFill>
                <a:round/>
              </a:ln>
            </c:spPr>
          </c:dPt>
          <c:dLbls>
            <c:dLbl>
              <c:idx val="0"/>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1"/>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2"/>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showLeaderLines val="0"/>
          </c:dLbls>
          <c:cat>
            <c:strRef>
              <c:f>categories</c:f>
              <c:strCache>
                <c:ptCount val="3"/>
                <c:pt idx="0">
                  <c:v>VSZP</c:v>
                </c:pt>
                <c:pt idx="1">
                  <c:v>Dôvera</c:v>
                </c:pt>
                <c:pt idx="2">
                  <c:v>Union</c:v>
                </c:pt>
              </c:strCache>
            </c:strRef>
          </c:cat>
          <c:val>
            <c:numRef>
              <c:f>0</c:f>
              <c:numCache>
                <c:formatCode>General</c:formatCode>
                <c:ptCount val="3"/>
                <c:pt idx="0">
                  <c:v>3282987679</c:v>
                </c:pt>
                <c:pt idx="1">
                  <c:v>1400100000</c:v>
                </c:pt>
                <c:pt idx="2">
                  <c:v>434345443</c:v>
                </c:pt>
              </c:numCache>
            </c:numRef>
          </c:val>
        </c:ser>
      </c:pie3DChart>
    </c:plotArea>
    <c:legend>
      <c:legendPos val="b"/>
      <c:overlay val="0"/>
      <c:spPr>
        <a:noFill/>
        <a:ln w="0">
          <a:noFill/>
        </a:ln>
      </c:spPr>
      <c:txPr>
        <a:bodyPr/>
        <a:lstStyle/>
        <a:p>
          <a:pPr>
            <a:defRPr b="0" lang="sk-SK"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sk-SK" sz="1400" spc="-1" strike="noStrike">
                <a:solidFill>
                  <a:srgbClr val="595959"/>
                </a:solidFill>
                <a:latin typeface="Calibri"/>
              </a:defRPr>
            </a:pPr>
            <a:r>
              <a:rPr b="0" lang="sk-SK" sz="1400" spc="-1" strike="noStrike">
                <a:solidFill>
                  <a:srgbClr val="595959"/>
                </a:solidFill>
                <a:latin typeface="Calibri"/>
              </a:rPr>
              <a:t>Príjmy zo sociálneho poistenia za rok 2018</a:t>
            </a:r>
          </a:p>
        </c:rich>
      </c:tx>
      <c:overlay val="0"/>
      <c:spPr>
        <a:noFill/>
        <a:ln w="0">
          <a:noFill/>
        </a:ln>
      </c:spPr>
    </c:title>
    <c:autoTitleDeleted val="0"/>
    <c:plotArea>
      <c:pieChart>
        <c:varyColors val="1"/>
        <c:ser>
          <c:idx val="0"/>
          <c:order val="0"/>
          <c:tx>
            <c:strRef>
              <c:f>label 0</c:f>
              <c:strCache>
                <c:ptCount val="1"/>
                <c:pt idx="0">
                  <c:v>Series1</c:v>
                </c:pt>
              </c:strCache>
            </c:strRef>
          </c:tx>
          <c:spPr>
            <a:solidFill>
              <a:srgbClr val="4472c4"/>
            </a:solidFill>
            <a:ln w="0">
              <a:noFill/>
            </a:ln>
          </c:spPr>
          <c:explosion val="0"/>
          <c:dPt>
            <c:idx val="0"/>
            <c:spPr>
              <a:solidFill>
                <a:srgbClr val="4472c4"/>
              </a:solidFill>
              <a:ln w="19080">
                <a:solidFill>
                  <a:srgbClr val="ffffff"/>
                </a:solidFill>
                <a:round/>
              </a:ln>
            </c:spPr>
          </c:dPt>
          <c:dPt>
            <c:idx val="1"/>
            <c:spPr>
              <a:solidFill>
                <a:srgbClr val="ed7d31"/>
              </a:solidFill>
              <a:ln w="19080">
                <a:solidFill>
                  <a:srgbClr val="ffffff"/>
                </a:solidFill>
                <a:round/>
              </a:ln>
            </c:spPr>
          </c:dPt>
          <c:dPt>
            <c:idx val="2"/>
            <c:spPr>
              <a:solidFill>
                <a:srgbClr val="a5a5a5"/>
              </a:solidFill>
              <a:ln w="19080">
                <a:solidFill>
                  <a:srgbClr val="ffffff"/>
                </a:solidFill>
                <a:round/>
              </a:ln>
            </c:spPr>
          </c:dPt>
          <c:dPt>
            <c:idx val="3"/>
            <c:spPr>
              <a:solidFill>
                <a:srgbClr val="ffc000"/>
              </a:solidFill>
              <a:ln w="19080">
                <a:solidFill>
                  <a:srgbClr val="ffffff"/>
                </a:solidFill>
                <a:round/>
              </a:ln>
            </c:spPr>
          </c:dPt>
          <c:dPt>
            <c:idx val="4"/>
            <c:spPr>
              <a:solidFill>
                <a:srgbClr val="5b9bd5"/>
              </a:solidFill>
              <a:ln w="19080">
                <a:solidFill>
                  <a:srgbClr val="ffffff"/>
                </a:solidFill>
                <a:round/>
              </a:ln>
            </c:spPr>
          </c:dPt>
          <c:dPt>
            <c:idx val="5"/>
            <c:spPr>
              <a:solidFill>
                <a:srgbClr val="70ad47"/>
              </a:solidFill>
              <a:ln w="19080">
                <a:solidFill>
                  <a:srgbClr val="ffffff"/>
                </a:solidFill>
                <a:round/>
              </a:ln>
            </c:spPr>
          </c:dPt>
          <c:dPt>
            <c:idx val="6"/>
            <c:spPr>
              <a:solidFill>
                <a:srgbClr val="264478"/>
              </a:solidFill>
              <a:ln w="19080">
                <a:solidFill>
                  <a:srgbClr val="ffffff"/>
                </a:solidFill>
                <a:round/>
              </a:ln>
            </c:spPr>
          </c:dPt>
          <c:dPt>
            <c:idx val="7"/>
            <c:spPr>
              <a:solidFill>
                <a:srgbClr val="9e480e"/>
              </a:solidFill>
              <a:ln w="19080">
                <a:solidFill>
                  <a:srgbClr val="ffffff"/>
                </a:solidFill>
                <a:round/>
              </a:ln>
            </c:spPr>
          </c:dPt>
          <c:dPt>
            <c:idx val="8"/>
            <c:spPr>
              <a:solidFill>
                <a:srgbClr val="636363"/>
              </a:solidFill>
              <a:ln w="19080">
                <a:solidFill>
                  <a:srgbClr val="ffffff"/>
                </a:solidFill>
                <a:round/>
              </a:ln>
            </c:spPr>
          </c:dPt>
          <c:dLbls>
            <c:dLbl>
              <c:idx val="0"/>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1"/>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2"/>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3"/>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4"/>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5"/>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6"/>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7"/>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dLbl>
              <c:idx val="8"/>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dLbl>
            <c:txPr>
              <a:bodyPr wrap="none"/>
              <a:lstStyle/>
              <a:p>
                <a:pPr>
                  <a:defRPr b="0" lang="sk-SK" sz="1000" spc="-1" strike="noStrike">
                    <a:solidFill>
                      <a:srgbClr val="000000"/>
                    </a:solidFill>
                    <a:latin typeface="Calibri"/>
                  </a:defRPr>
                </a:pPr>
              </a:p>
            </c:txPr>
            <c:dLblPos val="bestFit"/>
            <c:showLegendKey val="0"/>
            <c:showVal val="0"/>
            <c:showCatName val="0"/>
            <c:showSerName val="0"/>
            <c:showPercent val="0"/>
            <c:separator>; </c:separator>
            <c:showLeaderLines val="0"/>
          </c:dLbls>
          <c:cat>
            <c:strRef>
              <c:f>categories</c:f>
              <c:strCache>
                <c:ptCount val="9"/>
                <c:pt idx="0">
                  <c:v>Základný fond nemocenského poistenia</c:v>
                </c:pt>
                <c:pt idx="1">
                  <c:v>Základný fond starobného poistenia</c:v>
                </c:pt>
                <c:pt idx="2">
                  <c:v>Základný fond invalidného poistenia</c:v>
                </c:pt>
                <c:pt idx="3">
                  <c:v>Dôchodkové poistenie spolu</c:v>
                </c:pt>
                <c:pt idx="4">
                  <c:v>Základný fond garančného poistenia</c:v>
                </c:pt>
                <c:pt idx="5">
                  <c:v>Základný fond poistenia v nezamestnanosti</c:v>
                </c:pt>
                <c:pt idx="6">
                  <c:v>Rezervný fond solidarity</c:v>
                </c:pt>
                <c:pt idx="7">
                  <c:v>Správny fond</c:v>
                </c:pt>
                <c:pt idx="8">
                  <c:v>Základný fond poistenia zodpovednosti zamestnávateľa za škodu pre pracovný úraz a chorobu z povolania (PZŠ)/ úrazového poistenia</c:v>
                </c:pt>
              </c:strCache>
            </c:strRef>
          </c:cat>
          <c:val>
            <c:numRef>
              <c:f>0</c:f>
              <c:numCache>
                <c:formatCode>General</c:formatCode>
                <c:ptCount val="9"/>
                <c:pt idx="0">
                  <c:v>744140000</c:v>
                </c:pt>
                <c:pt idx="1">
                  <c:v>4238670000</c:v>
                </c:pt>
                <c:pt idx="2">
                  <c:v>1616600000</c:v>
                </c:pt>
                <c:pt idx="3">
                  <c:v>5855270000</c:v>
                </c:pt>
                <c:pt idx="4">
                  <c:v>61140000</c:v>
                </c:pt>
                <c:pt idx="5">
                  <c:v>487830000</c:v>
                </c:pt>
                <c:pt idx="6">
                  <c:v>1224880000</c:v>
                </c:pt>
                <c:pt idx="7">
                  <c:v>196120000</c:v>
                </c:pt>
                <c:pt idx="8">
                  <c:v>209610000</c:v>
                </c:pt>
              </c:numCache>
            </c:numRef>
          </c:val>
        </c:ser>
        <c:firstSliceAng val="0"/>
      </c:pieChart>
      <c:spPr>
        <a:noFill/>
        <a:ln w="0">
          <a:noFill/>
        </a:ln>
      </c:spPr>
    </c:plotArea>
    <c:legend>
      <c:legendPos val="b"/>
      <c:layout>
        <c:manualLayout>
          <c:xMode val="edge"/>
          <c:yMode val="edge"/>
          <c:x val="0.061875"/>
          <c:y val="0.461"/>
          <c:w val="0.876242265141571"/>
          <c:h val="0.520724524947216"/>
        </c:manualLayout>
      </c:layout>
      <c:overlay val="0"/>
      <c:spPr>
        <a:noFill/>
        <a:ln w="0">
          <a:noFill/>
        </a:ln>
      </c:spPr>
      <c:txPr>
        <a:bodyPr/>
        <a:lstStyle/>
        <a:p>
          <a:pPr>
            <a:defRPr b="0" lang="sk-SK"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sk-SK" sz="1400" spc="-1" strike="noStrike">
                <a:solidFill>
                  <a:srgbClr val="595959"/>
                </a:solidFill>
                <a:latin typeface="Calibri"/>
              </a:defRPr>
            </a:pPr>
            <a:r>
              <a:rPr b="0" lang="sk-SK" sz="1400" spc="-1" strike="noStrike">
                <a:solidFill>
                  <a:srgbClr val="595959"/>
                </a:solidFill>
                <a:latin typeface="Calibri"/>
              </a:rPr>
              <a:t>Sumarizácia opatrení na zavedenie príspevku</a:t>
            </a:r>
          </a:p>
        </c:rich>
      </c:tx>
      <c:overlay val="0"/>
      <c:spPr>
        <a:noFill/>
        <a:ln w="0">
          <a:noFill/>
        </a:ln>
      </c:spPr>
    </c:title>
    <c:autoTitleDeleted val="0"/>
    <c:plotArea>
      <c:layout>
        <c:manualLayout>
          <c:layoutTarget val="inner"/>
          <c:xMode val="edge"/>
          <c:yMode val="edge"/>
          <c:x val="0.16125"/>
          <c:y val="0.159"/>
          <c:w val="0.8145"/>
          <c:h val="0.505"/>
        </c:manualLayout>
      </c:layout>
      <c:barChart>
        <c:barDir val="col"/>
        <c:grouping val="clustered"/>
        <c:varyColors val="0"/>
        <c:ser>
          <c:idx val="0"/>
          <c:order val="0"/>
          <c:tx>
            <c:strRef>
              <c:f>label 0</c:f>
              <c:strCache>
                <c:ptCount val="1"/>
                <c:pt idx="0">
                  <c:v>MPSVaR (presun financií do zdravotníctva)</c:v>
                </c:pt>
              </c:strCache>
            </c:strRef>
          </c:tx>
          <c:spPr>
            <a:solidFill>
              <a:srgbClr val="4472c4"/>
            </a:solidFill>
            <a:ln w="0">
              <a:noFill/>
            </a:ln>
          </c:spPr>
          <c:invertIfNegative val="0"/>
          <c:dLbls>
            <c:txPr>
              <a:bodyPr wrap="none"/>
              <a:lstStyle/>
              <a:p>
                <a:pPr>
                  <a:defRPr b="0" lang="sk-SK"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
                <c:pt idx="0">
                  <c:v>Sumarizácia</c:v>
                </c:pt>
              </c:strCache>
            </c:strRef>
          </c:cat>
          <c:val>
            <c:numRef>
              <c:f>0</c:f>
              <c:numCache>
                <c:formatCode>General</c:formatCode>
                <c:ptCount val="1"/>
                <c:pt idx="0">
                  <c:v>550575882</c:v>
                </c:pt>
              </c:numCache>
            </c:numRef>
          </c:val>
        </c:ser>
        <c:ser>
          <c:idx val="1"/>
          <c:order val="1"/>
          <c:tx>
            <c:strRef>
              <c:f>label 1</c:f>
              <c:strCache>
                <c:ptCount val="1"/>
                <c:pt idx="0">
                  <c:v>Preplácanie ošetrovateľských výkonov zo zdravotného poistenia</c:v>
                </c:pt>
              </c:strCache>
            </c:strRef>
          </c:tx>
          <c:spPr>
            <a:solidFill>
              <a:srgbClr val="ed7d31"/>
            </a:solidFill>
            <a:ln w="0">
              <a:noFill/>
            </a:ln>
          </c:spPr>
          <c:invertIfNegative val="0"/>
          <c:dLbls>
            <c:txPr>
              <a:bodyPr wrap="none"/>
              <a:lstStyle/>
              <a:p>
                <a:pPr>
                  <a:defRPr b="0" lang="sk-SK"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
                <c:pt idx="0">
                  <c:v>Sumarizácia</c:v>
                </c:pt>
              </c:strCache>
            </c:strRef>
          </c:cat>
          <c:val>
            <c:numRef>
              <c:f>1</c:f>
              <c:numCache>
                <c:formatCode>General</c:formatCode>
                <c:ptCount val="1"/>
                <c:pt idx="0">
                  <c:v>104317423</c:v>
                </c:pt>
              </c:numCache>
            </c:numRef>
          </c:val>
        </c:ser>
        <c:ser>
          <c:idx val="2"/>
          <c:order val="2"/>
          <c:tx>
            <c:strRef>
              <c:f>label 2</c:f>
              <c:strCache>
                <c:ptCount val="1"/>
                <c:pt idx="0">
                  <c:v>Zníženie dane z príjmov o pol p. b. Na 18,5 % a úprava odpočítateľnej položky na osemnásobok minimálnej mzdy</c:v>
                </c:pt>
              </c:strCache>
            </c:strRef>
          </c:tx>
          <c:spPr>
            <a:solidFill>
              <a:srgbClr val="a5a5a5"/>
            </a:solidFill>
            <a:ln w="0">
              <a:noFill/>
            </a:ln>
          </c:spPr>
          <c:invertIfNegative val="0"/>
          <c:dLbls>
            <c:txPr>
              <a:bodyPr wrap="none"/>
              <a:lstStyle/>
              <a:p>
                <a:pPr>
                  <a:defRPr b="0" lang="sk-SK"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
                <c:pt idx="0">
                  <c:v>Sumarizácia</c:v>
                </c:pt>
              </c:strCache>
            </c:strRef>
          </c:cat>
          <c:val>
            <c:numRef>
              <c:f>2</c:f>
              <c:numCache>
                <c:formatCode>General</c:formatCode>
                <c:ptCount val="1"/>
                <c:pt idx="0">
                  <c:v>-201000000</c:v>
                </c:pt>
              </c:numCache>
            </c:numRef>
          </c:val>
        </c:ser>
        <c:ser>
          <c:idx val="3"/>
          <c:order val="3"/>
          <c:tx>
            <c:strRef>
              <c:f>label 3</c:f>
              <c:strCache>
                <c:ptCount val="1"/>
                <c:pt idx="0">
                  <c:v>Nový odvod na nesebestačnosť 1,5 %</c:v>
                </c:pt>
              </c:strCache>
            </c:strRef>
          </c:tx>
          <c:spPr>
            <a:solidFill>
              <a:srgbClr val="ffc000"/>
            </a:solidFill>
            <a:ln w="0">
              <a:noFill/>
            </a:ln>
          </c:spPr>
          <c:invertIfNegative val="0"/>
          <c:dLbls>
            <c:txPr>
              <a:bodyPr wrap="none"/>
              <a:lstStyle/>
              <a:p>
                <a:pPr>
                  <a:defRPr b="0" lang="sk-SK"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
                <c:pt idx="0">
                  <c:v>Sumarizácia</c:v>
                </c:pt>
              </c:strCache>
            </c:strRef>
          </c:cat>
          <c:val>
            <c:numRef>
              <c:f>3</c:f>
              <c:numCache>
                <c:formatCode>General</c:formatCode>
                <c:ptCount val="1"/>
                <c:pt idx="0">
                  <c:v>384000000</c:v>
                </c:pt>
              </c:numCache>
            </c:numRef>
          </c:val>
        </c:ser>
        <c:ser>
          <c:idx val="4"/>
          <c:order val="4"/>
          <c:tx>
            <c:strRef>
              <c:f>label 4</c:f>
              <c:strCache>
                <c:ptCount val="1"/>
                <c:pt idx="0">
                  <c:v>Pokles odvodu zdravotného poistenia o 0,5 %</c:v>
                </c:pt>
              </c:strCache>
            </c:strRef>
          </c:tx>
          <c:spPr>
            <a:solidFill>
              <a:srgbClr val="5b9bd5"/>
            </a:solidFill>
            <a:ln w="0">
              <a:noFill/>
            </a:ln>
          </c:spPr>
          <c:invertIfNegative val="0"/>
          <c:dLbls>
            <c:txPr>
              <a:bodyPr wrap="none"/>
              <a:lstStyle/>
              <a:p>
                <a:pPr>
                  <a:defRPr b="0" lang="sk-SK" sz="1000" spc="-1" strike="noStrike">
                    <a:solidFill>
                      <a:srgbClr val="000000"/>
                    </a:solidFill>
                    <a:latin typeface="Calibri"/>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
                <c:pt idx="0">
                  <c:v>Sumarizácia</c:v>
                </c:pt>
              </c:strCache>
            </c:strRef>
          </c:cat>
          <c:val>
            <c:numRef>
              <c:f>4</c:f>
              <c:numCache>
                <c:formatCode>General</c:formatCode>
                <c:ptCount val="1"/>
                <c:pt idx="0">
                  <c:v>-177000000</c:v>
                </c:pt>
              </c:numCache>
            </c:numRef>
          </c:val>
        </c:ser>
        <c:gapWidth val="219"/>
        <c:overlap val="-27"/>
        <c:axId val="96804800"/>
        <c:axId val="59439057"/>
      </c:barChart>
      <c:catAx>
        <c:axId val="9680480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lang="sk-SK" sz="900" spc="-1" strike="noStrike">
                <a:solidFill>
                  <a:srgbClr val="595959"/>
                </a:solidFill>
                <a:latin typeface="Calibri"/>
              </a:defRPr>
            </a:pPr>
          </a:p>
        </c:txPr>
        <c:crossAx val="59439057"/>
        <c:crosses val="autoZero"/>
        <c:auto val="1"/>
        <c:lblAlgn val="ctr"/>
        <c:lblOffset val="100"/>
        <c:noMultiLvlLbl val="0"/>
      </c:catAx>
      <c:valAx>
        <c:axId val="59439057"/>
        <c:scaling>
          <c:orientation val="minMax"/>
        </c:scaling>
        <c:delete val="0"/>
        <c:axPos val="l"/>
        <c:majorGridlines>
          <c:spPr>
            <a:ln w="9360">
              <a:solidFill>
                <a:srgbClr val="d9d9d9"/>
              </a:solidFill>
              <a:round/>
            </a:ln>
          </c:spPr>
        </c:majorGridlines>
        <c:numFmt formatCode="#,##0&quot; €&quot;" sourceLinked="0"/>
        <c:majorTickMark val="none"/>
        <c:minorTickMark val="none"/>
        <c:tickLblPos val="nextTo"/>
        <c:spPr>
          <a:ln w="6480">
            <a:noFill/>
          </a:ln>
        </c:spPr>
        <c:txPr>
          <a:bodyPr/>
          <a:lstStyle/>
          <a:p>
            <a:pPr>
              <a:defRPr b="0" lang="sk-SK" sz="900" spc="-1" strike="noStrike">
                <a:solidFill>
                  <a:srgbClr val="595959"/>
                </a:solidFill>
                <a:latin typeface="Calibri"/>
              </a:defRPr>
            </a:pPr>
          </a:p>
        </c:txPr>
        <c:crossAx val="96804800"/>
        <c:crosses val="autoZero"/>
        <c:crossBetween val="between"/>
      </c:valAx>
      <c:spPr>
        <a:noFill/>
        <a:ln w="0">
          <a:noFill/>
        </a:ln>
      </c:spPr>
    </c:plotArea>
    <c:legend>
      <c:legendPos val="b"/>
      <c:layout>
        <c:manualLayout>
          <c:xMode val="edge"/>
          <c:yMode val="edge"/>
          <c:x val="0.059875"/>
          <c:y val="0.68"/>
          <c:w val="0.940121257578599"/>
          <c:h val="0.294143793754862"/>
        </c:manualLayout>
      </c:layout>
      <c:overlay val="0"/>
      <c:spPr>
        <a:noFill/>
        <a:ln w="0">
          <a:noFill/>
        </a:ln>
      </c:spPr>
      <c:txPr>
        <a:bodyPr/>
        <a:lstStyle/>
        <a:p>
          <a:pPr>
            <a:defRPr b="0" lang="sk-SK"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4675625"/>
          <c:y val="0.0438888888888889"/>
          <c:w val="0.4948125"/>
          <c:h val="0.761"/>
        </c:manualLayout>
      </c:layout>
      <c:barChart>
        <c:barDir val="bar"/>
        <c:grouping val="clustered"/>
        <c:varyColors val="0"/>
        <c:ser>
          <c:idx val="0"/>
          <c:order val="0"/>
          <c:tx>
            <c:strRef>
              <c:f>label 0</c:f>
              <c:strCache>
                <c:ptCount val="1"/>
                <c:pt idx="0">
                  <c:v>zriadení vyšším územným celkom</c:v>
                </c:pt>
              </c:strCache>
            </c:strRef>
          </c:tx>
          <c:spPr>
            <a:solidFill>
              <a:srgbClr val="faacbf"/>
            </a:solidFill>
            <a:ln w="0">
              <a:solidFill>
                <a:srgbClr val="faacbf"/>
              </a:solidFill>
            </a:ln>
          </c:spPr>
          <c:invertIfNegative val="0"/>
          <c:dLbls>
            <c:txPr>
              <a:bodyPr wrap="none"/>
              <a:lstStyle/>
              <a:p>
                <a:pPr>
                  <a:defRPr b="0" lang="sk-SK" sz="1050" spc="-1" strike="noStrike">
                    <a:solidFill>
                      <a:srgbClr val="000000"/>
                    </a:solidFill>
                    <a:latin typeface="Arial Narrow"/>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Sociálne poradentvo a rehabilitácia</c:v>
                </c:pt>
                <c:pt idx="1">
                  <c:v>Služby krízovej intervencie</c:v>
                </c:pt>
                <c:pt idx="2">
                  <c:v>Složby na podporu rodiny s deťmi</c:v>
                </c:pt>
                <c:pt idx="3">
                  <c:v>Služby pre osoby s ŤZP a nepriaz. zdr. stavom</c:v>
                </c:pt>
                <c:pt idx="4">
                  <c:v>Služby IKT a podporné služby </c:v>
                </c:pt>
              </c:strCache>
            </c:strRef>
          </c:cat>
          <c:val>
            <c:numRef>
              <c:f>0</c:f>
              <c:numCache>
                <c:formatCode>General</c:formatCode>
                <c:ptCount val="5"/>
                <c:pt idx="0">
                  <c:v>14</c:v>
                </c:pt>
                <c:pt idx="1">
                  <c:v>26</c:v>
                </c:pt>
                <c:pt idx="2">
                  <c:v>30</c:v>
                </c:pt>
                <c:pt idx="3">
                  <c:v>600</c:v>
                </c:pt>
                <c:pt idx="4">
                  <c:v>27</c:v>
                </c:pt>
              </c:numCache>
            </c:numRef>
          </c:val>
        </c:ser>
        <c:ser>
          <c:idx val="1"/>
          <c:order val="1"/>
          <c:tx>
            <c:strRef>
              <c:f>label 1</c:f>
              <c:strCache>
                <c:ptCount val="1"/>
                <c:pt idx="0">
                  <c:v>zriadení obcou</c:v>
                </c:pt>
              </c:strCache>
            </c:strRef>
          </c:tx>
          <c:spPr>
            <a:solidFill>
              <a:srgbClr val="d0cece"/>
            </a:solidFill>
            <a:ln w="0">
              <a:solidFill>
                <a:srgbClr val="d0cece"/>
              </a:solidFill>
            </a:ln>
          </c:spPr>
          <c:invertIfNegative val="0"/>
          <c:dLbls>
            <c:txPr>
              <a:bodyPr wrap="none"/>
              <a:lstStyle/>
              <a:p>
                <a:pPr>
                  <a:defRPr b="0" lang="sk-SK" sz="1050" spc="-1" strike="noStrike">
                    <a:solidFill>
                      <a:srgbClr val="000000"/>
                    </a:solidFill>
                    <a:latin typeface="Arial Narrow"/>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Sociálne poradentvo a rehabilitácia</c:v>
                </c:pt>
                <c:pt idx="1">
                  <c:v>Služby krízovej intervencie</c:v>
                </c:pt>
                <c:pt idx="2">
                  <c:v>Složby na podporu rodiny s deťmi</c:v>
                </c:pt>
                <c:pt idx="3">
                  <c:v>Služby pre osoby s ŤZP a nepriaz. zdr. stavom</c:v>
                </c:pt>
                <c:pt idx="4">
                  <c:v>Služby IKT a podporné služby </c:v>
                </c:pt>
              </c:strCache>
            </c:strRef>
          </c:cat>
          <c:val>
            <c:numRef>
              <c:f>1</c:f>
              <c:numCache>
                <c:formatCode>General</c:formatCode>
                <c:ptCount val="5"/>
                <c:pt idx="0">
                  <c:v>11</c:v>
                </c:pt>
                <c:pt idx="1">
                  <c:v>381</c:v>
                </c:pt>
                <c:pt idx="2">
                  <c:v>48</c:v>
                </c:pt>
                <c:pt idx="3">
                  <c:v>1427</c:v>
                </c:pt>
                <c:pt idx="4">
                  <c:v>449</c:v>
                </c:pt>
              </c:numCache>
            </c:numRef>
          </c:val>
        </c:ser>
        <c:ser>
          <c:idx val="2"/>
          <c:order val="2"/>
          <c:tx>
            <c:strRef>
              <c:f>label 2</c:f>
              <c:strCache>
                <c:ptCount val="1"/>
                <c:pt idx="0">
                  <c:v>neverejní poskytovatelia</c:v>
                </c:pt>
              </c:strCache>
            </c:strRef>
          </c:tx>
          <c:spPr>
            <a:solidFill>
              <a:srgbClr val="b7194b"/>
            </a:solidFill>
            <a:ln w="0">
              <a:solidFill>
                <a:srgbClr val="b7194b"/>
              </a:solidFill>
            </a:ln>
          </c:spPr>
          <c:invertIfNegative val="0"/>
          <c:dLbls>
            <c:txPr>
              <a:bodyPr wrap="none"/>
              <a:lstStyle/>
              <a:p>
                <a:pPr>
                  <a:defRPr b="0" lang="sk-SK" sz="1050" spc="-1" strike="noStrike">
                    <a:solidFill>
                      <a:srgbClr val="000000"/>
                    </a:solidFill>
                    <a:latin typeface="Arial Narrow"/>
                  </a:defRPr>
                </a:pPr>
              </a:p>
            </c:txPr>
            <c:dLblPos val="outEnd"/>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Sociálne poradentvo a rehabilitácia</c:v>
                </c:pt>
                <c:pt idx="1">
                  <c:v>Služby krízovej intervencie</c:v>
                </c:pt>
                <c:pt idx="2">
                  <c:v>Složby na podporu rodiny s deťmi</c:v>
                </c:pt>
                <c:pt idx="3">
                  <c:v>Služby pre osoby s ŤZP a nepriaz. zdr. stavom</c:v>
                </c:pt>
                <c:pt idx="4">
                  <c:v>Služby IKT a podporné služby </c:v>
                </c:pt>
              </c:strCache>
            </c:strRef>
          </c:cat>
          <c:val>
            <c:numRef>
              <c:f>2</c:f>
              <c:numCache>
                <c:formatCode>General</c:formatCode>
                <c:ptCount val="5"/>
                <c:pt idx="0">
                  <c:v>369</c:v>
                </c:pt>
                <c:pt idx="1">
                  <c:v>347</c:v>
                </c:pt>
                <c:pt idx="2">
                  <c:v>256</c:v>
                </c:pt>
                <c:pt idx="3">
                  <c:v>1360</c:v>
                </c:pt>
                <c:pt idx="4">
                  <c:v>107</c:v>
                </c:pt>
              </c:numCache>
            </c:numRef>
          </c:val>
        </c:ser>
        <c:gapWidth val="182"/>
        <c:overlap val="0"/>
        <c:axId val="17177203"/>
        <c:axId val="29004703"/>
      </c:barChart>
      <c:catAx>
        <c:axId val="1717720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lang="sk-SK" sz="1050" spc="-1" strike="noStrike">
                <a:solidFill>
                  <a:srgbClr val="000000"/>
                </a:solidFill>
                <a:latin typeface="Arial Narrow"/>
              </a:defRPr>
            </a:pPr>
          </a:p>
        </c:txPr>
        <c:crossAx val="29004703"/>
        <c:crosses val="autoZero"/>
        <c:auto val="1"/>
        <c:lblAlgn val="ctr"/>
        <c:lblOffset val="100"/>
        <c:noMultiLvlLbl val="0"/>
      </c:catAx>
      <c:valAx>
        <c:axId val="29004703"/>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lang="sk-SK" sz="1050" spc="-1" strike="noStrike">
                <a:solidFill>
                  <a:srgbClr val="595959"/>
                </a:solidFill>
                <a:latin typeface="Arial Narrow"/>
              </a:defRPr>
            </a:pPr>
          </a:p>
        </c:txPr>
        <c:crossAx val="17177203"/>
        <c:crosses val="autoZero"/>
        <c:crossBetween val="between"/>
      </c:valAx>
      <c:spPr>
        <a:noFill/>
        <a:ln w="0">
          <a:noFill/>
        </a:ln>
      </c:spPr>
    </c:plotArea>
    <c:legend>
      <c:legendPos val="b"/>
      <c:overlay val="0"/>
      <c:spPr>
        <a:noFill/>
        <a:ln w="0">
          <a:noFill/>
        </a:ln>
      </c:spPr>
      <c:txPr>
        <a:bodyPr/>
        <a:lstStyle/>
        <a:p>
          <a:pPr>
            <a:defRPr b="0" lang="sk-SK" sz="1050" spc="-1" strike="noStrike">
              <a:solidFill>
                <a:srgbClr val="000000"/>
              </a:solidFill>
              <a:latin typeface="Arial Narrow"/>
            </a:defRPr>
          </a:pPr>
        </a:p>
      </c:txPr>
    </c:legend>
    <c:plotVisOnly val="1"/>
    <c:dispBlanksAs val="gap"/>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clustered"/>
        <c:varyColors val="0"/>
        <c:ser>
          <c:idx val="0"/>
          <c:order val="0"/>
          <c:tx>
            <c:strRef>
              <c:f>label 0</c:f>
              <c:strCache>
                <c:ptCount val="1"/>
                <c:pt idx="0">
                  <c:v>2017</c:v>
                </c:pt>
              </c:strCache>
            </c:strRef>
          </c:tx>
          <c:spPr>
            <a:solidFill>
              <a:srgbClr val="b7194b"/>
            </a:solidFill>
            <a:ln w="0">
              <a:noFill/>
            </a:ln>
          </c:spPr>
          <c:invertIfNegative val="0"/>
          <c:dPt>
            <c:idx val="0"/>
            <c:invertIfNegative val="0"/>
            <c:spPr>
              <a:solidFill>
                <a:srgbClr val="b7194b"/>
              </a:solidFill>
              <a:ln w="0">
                <a:noFill/>
              </a:ln>
            </c:spPr>
          </c:dPt>
          <c:dPt>
            <c:idx val="8"/>
            <c:invertIfNegative val="0"/>
            <c:spPr>
              <a:solidFill>
                <a:srgbClr val="b7194b"/>
              </a:solidFill>
              <a:ln w="0">
                <a:noFill/>
              </a:ln>
            </c:spPr>
          </c:dPt>
          <c:dLbls>
            <c:numFmt formatCode="General" sourceLinked="0"/>
            <c:dLbl>
              <c:idx val="0"/>
              <c:layout>
                <c:manualLayout>
                  <c:x val="0.0313725520003376"/>
                  <c:y val="-1.22220842395953E-016"/>
                </c:manualLayout>
              </c:layout>
              <c:numFmt formatCode="General" sourceLinked="0"/>
              <c:txPr>
                <a:bodyPr wrap="square"/>
                <a:lstStyle/>
                <a:p>
                  <a:pPr>
                    <a:defRPr b="0" lang="sk-SK" sz="1050" spc="-1" strike="noStrike">
                      <a:solidFill>
                        <a:srgbClr val="000000"/>
                      </a:solidFill>
                      <a:latin typeface="Arial Narrow"/>
                    </a:defRPr>
                  </a:pPr>
                </a:p>
              </c:txPr>
              <c:dLblPos val="outEnd"/>
              <c:showLegendKey val="0"/>
              <c:showVal val="1"/>
              <c:showCatName val="0"/>
              <c:showSerName val="0"/>
              <c:showPercent val="0"/>
              <c:separator>; </c:separator>
            </c:dLbl>
            <c:dLbl>
              <c:idx val="8"/>
              <c:layout>
                <c:manualLayout>
                  <c:x val="0"/>
                  <c:y val="0.00666666841644837"/>
                </c:manualLayout>
              </c:layout>
              <c:numFmt formatCode="General" sourceLinked="0"/>
              <c:txPr>
                <a:bodyPr wrap="square"/>
                <a:lstStyle/>
                <a:p>
                  <a:pPr>
                    <a:defRPr b="0" lang="sk-SK" sz="1050" spc="-1" strike="noStrike">
                      <a:solidFill>
                        <a:srgbClr val="000000"/>
                      </a:solidFill>
                      <a:latin typeface="Arial Narrow"/>
                    </a:defRPr>
                  </a:pPr>
                </a:p>
              </c:txPr>
              <c:dLblPos val="outEnd"/>
              <c:showLegendKey val="0"/>
              <c:showVal val="1"/>
              <c:showCatName val="0"/>
              <c:showSerName val="0"/>
              <c:showPercent val="0"/>
              <c:separator>; </c:separator>
            </c:dLbl>
            <c:txPr>
              <a:bodyPr wrap="square"/>
              <a:lstStyle/>
              <a:p>
                <a:pPr>
                  <a:defRPr b="0" lang="sk-SK" sz="105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1"/>
                <c:pt idx="0">
                  <c:v>domov sociálnych služieb</c:v>
                </c:pt>
                <c:pt idx="1">
                  <c:v>zariadenie pre seniorov</c:v>
                </c:pt>
                <c:pt idx="2">
                  <c:v>špecializované zariadenie</c:v>
                </c:pt>
                <c:pt idx="3">
                  <c:v>denný stacionár</c:v>
                </c:pt>
                <c:pt idx="4">
                  <c:v>zariadenie podporovaného bývania</c:v>
                </c:pt>
                <c:pt idx="5">
                  <c:v>zariadenie núdzového bývania</c:v>
                </c:pt>
                <c:pt idx="6">
                  <c:v>útulok</c:v>
                </c:pt>
                <c:pt idx="7">
                  <c:v>rehabilitačné stredisko</c:v>
                </c:pt>
                <c:pt idx="8">
                  <c:v>zariadenie opatrovateľskej služby</c:v>
                </c:pt>
                <c:pt idx="9">
                  <c:v>nocľaháreň</c:v>
                </c:pt>
                <c:pt idx="10">
                  <c:v>domov na polceste</c:v>
                </c:pt>
              </c:strCache>
            </c:strRef>
          </c:cat>
          <c:val>
            <c:numRef>
              <c:f>0</c:f>
              <c:numCache>
                <c:formatCode>General</c:formatCode>
                <c:ptCount val="11"/>
                <c:pt idx="0">
                  <c:v>13273</c:v>
                </c:pt>
                <c:pt idx="1">
                  <c:v>18467</c:v>
                </c:pt>
                <c:pt idx="2">
                  <c:v>6860</c:v>
                </c:pt>
                <c:pt idx="3">
                  <c:v>5357</c:v>
                </c:pt>
                <c:pt idx="4">
                  <c:v>566</c:v>
                </c:pt>
                <c:pt idx="5">
                  <c:v>654</c:v>
                </c:pt>
                <c:pt idx="6">
                  <c:v>1997</c:v>
                </c:pt>
                <c:pt idx="7">
                  <c:v>571</c:v>
                </c:pt>
                <c:pt idx="8">
                  <c:v>2388</c:v>
                </c:pt>
                <c:pt idx="9">
                  <c:v>1088</c:v>
                </c:pt>
                <c:pt idx="10">
                  <c:v>255</c:v>
                </c:pt>
              </c:numCache>
            </c:numRef>
          </c:val>
        </c:ser>
        <c:ser>
          <c:idx val="1"/>
          <c:order val="1"/>
          <c:tx>
            <c:strRef>
              <c:f>label 1</c:f>
              <c:strCache>
                <c:ptCount val="1"/>
                <c:pt idx="0">
                  <c:v>2018</c:v>
                </c:pt>
              </c:strCache>
            </c:strRef>
          </c:tx>
          <c:spPr>
            <a:solidFill>
              <a:srgbClr val="faacbf"/>
            </a:solidFill>
            <a:ln w="0">
              <a:noFill/>
            </a:ln>
          </c:spPr>
          <c:invertIfNegative val="0"/>
          <c:dPt>
            <c:idx val="0"/>
            <c:invertIfNegative val="0"/>
            <c:spPr>
              <a:solidFill>
                <a:srgbClr val="faacbf"/>
              </a:solidFill>
              <a:ln w="0">
                <a:noFill/>
              </a:ln>
            </c:spPr>
          </c:dPt>
          <c:dPt>
            <c:idx val="1"/>
            <c:invertIfNegative val="0"/>
            <c:spPr>
              <a:solidFill>
                <a:srgbClr val="faacbf"/>
              </a:solidFill>
              <a:ln w="0">
                <a:noFill/>
              </a:ln>
            </c:spPr>
          </c:dPt>
          <c:dPt>
            <c:idx val="2"/>
            <c:invertIfNegative val="0"/>
            <c:spPr>
              <a:solidFill>
                <a:srgbClr val="faacbf"/>
              </a:solidFill>
              <a:ln w="0">
                <a:noFill/>
              </a:ln>
            </c:spPr>
          </c:dPt>
          <c:dPt>
            <c:idx val="3"/>
            <c:invertIfNegative val="0"/>
            <c:spPr>
              <a:solidFill>
                <a:srgbClr val="faacbf"/>
              </a:solidFill>
              <a:ln w="0">
                <a:noFill/>
              </a:ln>
            </c:spPr>
          </c:dPt>
          <c:dPt>
            <c:idx val="6"/>
            <c:invertIfNegative val="0"/>
            <c:spPr>
              <a:solidFill>
                <a:srgbClr val="faacbf"/>
              </a:solidFill>
              <a:ln w="0">
                <a:noFill/>
              </a:ln>
            </c:spPr>
          </c:dPt>
          <c:dPt>
            <c:idx val="7"/>
            <c:invertIfNegative val="0"/>
            <c:spPr>
              <a:solidFill>
                <a:srgbClr val="faacbf"/>
              </a:solidFill>
              <a:ln w="0">
                <a:noFill/>
              </a:ln>
            </c:spPr>
          </c:dPt>
          <c:dPt>
            <c:idx val="9"/>
            <c:invertIfNegative val="0"/>
            <c:spPr>
              <a:solidFill>
                <a:srgbClr val="faacbf"/>
              </a:solidFill>
              <a:ln w="0">
                <a:noFill/>
              </a:ln>
            </c:spPr>
          </c:dPt>
          <c:dPt>
            <c:idx val="10"/>
            <c:invertIfNegative val="0"/>
            <c:spPr>
              <a:solidFill>
                <a:srgbClr val="faacbf"/>
              </a:solidFill>
              <a:ln w="0">
                <a:noFill/>
              </a:ln>
            </c:spPr>
          </c:dPt>
          <c:dLbls>
            <c:numFmt formatCode="General" sourceLinked="0"/>
            <c:dLbl>
              <c:idx val="0"/>
              <c:layout>
                <c:manualLayout>
                  <c:x val="-0.00482654646159038"/>
                  <c:y val="-0.0133333368328969"/>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1"/>
              <c:layout>
                <c:manualLayout>
                  <c:x val="0"/>
                  <c:y val="-0.0266666736657936"/>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2"/>
              <c:layout>
                <c:manualLayout>
                  <c:x val="0"/>
                  <c:y val="-0.0066666684164484"/>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3"/>
              <c:layout>
                <c:manualLayout>
                  <c:x val="0"/>
                  <c:y val="-0.0133333368328968"/>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6"/>
              <c:layout>
                <c:manualLayout>
                  <c:x val="0"/>
                  <c:y val="-0.0166666710411211"/>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7"/>
              <c:layout>
                <c:manualLayout>
                  <c:x val="-8.8485662935228E-017"/>
                  <c:y val="-0.0100000026246726"/>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9"/>
              <c:layout>
                <c:manualLayout>
                  <c:x val="-0.00844636129702605"/>
                  <c:y val="-0.0183334693788634"/>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dLbl>
              <c:idx val="10"/>
              <c:layout>
                <c:manualLayout>
                  <c:x val="-4.4242831467614E-017"/>
                  <c:y val="-0.0133333368328968"/>
                </c:manualLayout>
              </c:layout>
              <c:numFmt formatCode="General"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11"/>
                <c:pt idx="0">
                  <c:v>domov sociálnych služieb</c:v>
                </c:pt>
                <c:pt idx="1">
                  <c:v>zariadenie pre seniorov</c:v>
                </c:pt>
                <c:pt idx="2">
                  <c:v>špecializované zariadenie</c:v>
                </c:pt>
                <c:pt idx="3">
                  <c:v>denný stacionár</c:v>
                </c:pt>
                <c:pt idx="4">
                  <c:v>zariadenie podporovaného bývania</c:v>
                </c:pt>
                <c:pt idx="5">
                  <c:v>zariadenie núdzového bývania</c:v>
                </c:pt>
                <c:pt idx="6">
                  <c:v>útulok</c:v>
                </c:pt>
                <c:pt idx="7">
                  <c:v>rehabilitačné stredisko</c:v>
                </c:pt>
                <c:pt idx="8">
                  <c:v>zariadenie opatrovateľskej služby</c:v>
                </c:pt>
                <c:pt idx="9">
                  <c:v>nocľaháreň</c:v>
                </c:pt>
                <c:pt idx="10">
                  <c:v>domov na polceste</c:v>
                </c:pt>
              </c:strCache>
            </c:strRef>
          </c:cat>
          <c:val>
            <c:numRef>
              <c:f>1</c:f>
              <c:numCache>
                <c:formatCode>General</c:formatCode>
                <c:ptCount val="11"/>
                <c:pt idx="0">
                  <c:v>12971</c:v>
                </c:pt>
                <c:pt idx="1">
                  <c:v>19129</c:v>
                </c:pt>
                <c:pt idx="2">
                  <c:v>7537</c:v>
                </c:pt>
                <c:pt idx="3">
                  <c:v>4128</c:v>
                </c:pt>
                <c:pt idx="4">
                  <c:v>573</c:v>
                </c:pt>
                <c:pt idx="5">
                  <c:v>665</c:v>
                </c:pt>
                <c:pt idx="6">
                  <c:v>2222</c:v>
                </c:pt>
                <c:pt idx="7">
                  <c:v>669</c:v>
                </c:pt>
                <c:pt idx="8">
                  <c:v>2513</c:v>
                </c:pt>
                <c:pt idx="9">
                  <c:v>1228</c:v>
                </c:pt>
                <c:pt idx="10">
                  <c:v>271</c:v>
                </c:pt>
              </c:numCache>
            </c:numRef>
          </c:val>
        </c:ser>
        <c:gapWidth val="100"/>
        <c:overlap val="0"/>
        <c:axId val="7201217"/>
        <c:axId val="9387514"/>
      </c:barChart>
      <c:catAx>
        <c:axId val="7201217"/>
        <c:scaling>
          <c:orientation val="minMax"/>
        </c:scaling>
        <c:delete val="0"/>
        <c:axPos val="b"/>
        <c:numFmt formatCode="General" sourceLinked="0"/>
        <c:majorTickMark val="none"/>
        <c:minorTickMark val="none"/>
        <c:tickLblPos val="nextTo"/>
        <c:spPr>
          <a:ln w="9360">
            <a:solidFill>
              <a:srgbClr val="e0e5eb"/>
            </a:solidFill>
            <a:round/>
          </a:ln>
        </c:spPr>
        <c:txPr>
          <a:bodyPr/>
          <a:lstStyle/>
          <a:p>
            <a:pPr>
              <a:defRPr b="0" lang="sk-SK" sz="1100" spc="-1" strike="noStrike">
                <a:solidFill>
                  <a:srgbClr val="000000"/>
                </a:solidFill>
                <a:latin typeface="Arial Narrow"/>
              </a:defRPr>
            </a:pPr>
          </a:p>
        </c:txPr>
        <c:crossAx val="9387514"/>
        <c:crosses val="autoZero"/>
        <c:auto val="1"/>
        <c:lblAlgn val="ctr"/>
        <c:lblOffset val="100"/>
        <c:noMultiLvlLbl val="0"/>
      </c:catAx>
      <c:valAx>
        <c:axId val="9387514"/>
        <c:scaling>
          <c:orientation val="minMax"/>
        </c:scaling>
        <c:delete val="0"/>
        <c:axPos val="l"/>
        <c:majorGridlines>
          <c:spPr>
            <a:ln w="9360">
              <a:solidFill>
                <a:srgbClr val="e0e5eb"/>
              </a:solidFill>
              <a:round/>
            </a:ln>
          </c:spPr>
        </c:majorGridlines>
        <c:numFmt formatCode="General" sourceLinked="0"/>
        <c:majorTickMark val="none"/>
        <c:minorTickMark val="none"/>
        <c:tickLblPos val="nextTo"/>
        <c:spPr>
          <a:ln w="6480">
            <a:noFill/>
          </a:ln>
        </c:spPr>
        <c:txPr>
          <a:bodyPr/>
          <a:lstStyle/>
          <a:p>
            <a:pPr>
              <a:defRPr b="0" lang="sk-SK" sz="1100" spc="-1" strike="noStrike">
                <a:solidFill>
                  <a:srgbClr val="000000"/>
                </a:solidFill>
                <a:latin typeface="Arial Narrow"/>
              </a:defRPr>
            </a:pPr>
          </a:p>
        </c:txPr>
        <c:crossAx val="7201217"/>
        <c:crosses val="autoZero"/>
        <c:crossBetween val="between"/>
      </c:valAx>
      <c:spPr>
        <a:noFill/>
        <a:ln w="0">
          <a:noFill/>
        </a:ln>
      </c:spPr>
    </c:plotArea>
    <c:legend>
      <c:legendPos val="b"/>
      <c:overlay val="0"/>
      <c:spPr>
        <a:noFill/>
        <a:ln w="0">
          <a:noFill/>
        </a:ln>
      </c:spPr>
      <c:txPr>
        <a:bodyPr/>
        <a:lstStyle/>
        <a:p>
          <a:pPr>
            <a:defRPr b="0" lang="sk-SK" sz="1100" spc="-1" strike="noStrike">
              <a:solidFill>
                <a:srgbClr val="000000"/>
              </a:solidFill>
              <a:latin typeface="Arial Narrow"/>
            </a:defRPr>
          </a:pPr>
        </a:p>
      </c:txPr>
    </c:legend>
    <c:plotVisOnly val="1"/>
    <c:dispBlanksAs val="gap"/>
  </c:chart>
  <c:spPr>
    <a:solidFill>
      <a:srgbClr val="ffffff"/>
    </a:solidFill>
    <a:ln w="9360">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30"/>
      <c:rotY val="0"/>
      <c:rAngAx val="0"/>
      <c:perspective val="30"/>
    </c:view3D>
    <c:floor>
      <c:spPr>
        <a:solidFill>
          <a:srgbClr val="d9d9d9"/>
        </a:solidFill>
        <a:ln w="0">
          <a:noFill/>
        </a:ln>
      </c:spPr>
    </c:floor>
    <c:sideWall>
      <c:spPr>
        <a:solidFill>
          <a:srgbClr val="d9d9d9"/>
        </a:solidFill>
        <a:ln w="0">
          <a:noFill/>
        </a:ln>
      </c:spPr>
    </c:sideWall>
    <c:backWall>
      <c:spPr>
        <a:solidFill>
          <a:srgbClr val="d9d9d9"/>
        </a:solidFill>
        <a:ln w="0">
          <a:noFill/>
        </a:ln>
      </c:spPr>
    </c:backWall>
    <c:plotArea>
      <c:layout>
        <c:manualLayout>
          <c:layoutTarget val="inner"/>
          <c:xMode val="edge"/>
          <c:yMode val="edge"/>
          <c:x val="0.0955"/>
          <c:y val="0.144888888888889"/>
          <c:w val="0.798625"/>
          <c:h val="0.801111111111111"/>
        </c:manualLayout>
      </c:layout>
      <c:pie3DChart>
        <c:varyColors val="1"/>
        <c:ser>
          <c:idx val="0"/>
          <c:order val="0"/>
          <c:tx>
            <c:strRef>
              <c:f>label 0</c:f>
              <c:strCache>
                <c:ptCount val="1"/>
                <c:pt idx="0">
                  <c:v>Series1</c:v>
                </c:pt>
              </c:strCache>
            </c:strRef>
          </c:tx>
          <c:spPr>
            <a:solidFill>
              <a:srgbClr val="ed7d31"/>
            </a:solidFill>
            <a:ln w="0">
              <a:noFill/>
            </a:ln>
          </c:spPr>
          <c:explosion val="0"/>
          <c:dPt>
            <c:idx val="0"/>
            <c:spPr>
              <a:solidFill>
                <a:srgbClr val="e85e89"/>
              </a:solidFill>
              <a:ln w="25560">
                <a:solidFill>
                  <a:srgbClr val="ffffff"/>
                </a:solidFill>
                <a:round/>
              </a:ln>
            </c:spPr>
          </c:dPt>
          <c:dPt>
            <c:idx val="1"/>
            <c:spPr>
              <a:solidFill>
                <a:srgbClr val="b7194b"/>
              </a:solidFill>
              <a:ln w="25560">
                <a:solidFill>
                  <a:srgbClr val="ffffff"/>
                </a:solidFill>
                <a:round/>
              </a:ln>
            </c:spPr>
          </c:dPt>
          <c:dPt>
            <c:idx val="2"/>
            <c:spPr>
              <a:solidFill>
                <a:srgbClr val="e02c64"/>
              </a:solidFill>
              <a:ln w="25560">
                <a:solidFill>
                  <a:srgbClr val="ffffff"/>
                </a:solidFill>
                <a:round/>
              </a:ln>
            </c:spPr>
          </c:dPt>
          <c:dPt>
            <c:idx val="3"/>
            <c:spPr>
              <a:solidFill>
                <a:srgbClr val="faacbf"/>
              </a:solidFill>
              <a:ln w="25560">
                <a:solidFill>
                  <a:srgbClr val="ffffff"/>
                </a:solidFill>
                <a:round/>
              </a:ln>
            </c:spPr>
          </c:dPt>
          <c:dPt>
            <c:idx val="4"/>
            <c:spPr>
              <a:solidFill>
                <a:srgbClr val="ffd5d5"/>
              </a:solidFill>
              <a:ln w="25560">
                <a:solidFill>
                  <a:srgbClr val="ffffff"/>
                </a:solidFill>
                <a:round/>
              </a:ln>
            </c:spPr>
          </c:dPt>
          <c:dLbls>
            <c:dLbl>
              <c:idx val="0"/>
              <c:txPr>
                <a:bodyPr wrap="square"/>
                <a:lstStyle/>
                <a:p>
                  <a:pPr>
                    <a:defRPr b="0" lang="sk-SK" sz="1050" spc="-1" strike="noStrike">
                      <a:solidFill>
                        <a:srgbClr val="000000"/>
                      </a:solidFill>
                      <a:latin typeface="Arial Narrow"/>
                    </a:defRPr>
                  </a:pPr>
                </a:p>
              </c:txPr>
              <c:dLblPos val="outEnd"/>
              <c:showLegendKey val="0"/>
              <c:showVal val="0"/>
              <c:showCatName val="1"/>
              <c:showSerName val="0"/>
              <c:showPercent val="1"/>
              <c:separator>
</c:separator>
            </c:dLbl>
            <c:dLbl>
              <c:idx val="1"/>
              <c:txPr>
                <a:bodyPr wrap="square"/>
                <a:lstStyle/>
                <a:p>
                  <a:pPr>
                    <a:defRPr b="0" lang="sk-SK" sz="1050" spc="-1" strike="noStrike">
                      <a:solidFill>
                        <a:srgbClr val="000000"/>
                      </a:solidFill>
                      <a:latin typeface="Arial Narrow"/>
                    </a:defRPr>
                  </a:pPr>
                </a:p>
              </c:txPr>
              <c:dLblPos val="outEnd"/>
              <c:showLegendKey val="0"/>
              <c:showVal val="0"/>
              <c:showCatName val="1"/>
              <c:showSerName val="0"/>
              <c:showPercent val="1"/>
              <c:separator>
</c:separator>
            </c:dLbl>
            <c:dLbl>
              <c:idx val="2"/>
              <c:txPr>
                <a:bodyPr wrap="square"/>
                <a:lstStyle/>
                <a:p>
                  <a:pPr>
                    <a:defRPr b="0" lang="sk-SK" sz="1050" spc="-1" strike="noStrike">
                      <a:solidFill>
                        <a:srgbClr val="000000"/>
                      </a:solidFill>
                      <a:latin typeface="Arial Narrow"/>
                    </a:defRPr>
                  </a:pPr>
                </a:p>
              </c:txPr>
              <c:dLblPos val="outEnd"/>
              <c:showLegendKey val="0"/>
              <c:showVal val="0"/>
              <c:showCatName val="1"/>
              <c:showSerName val="0"/>
              <c:showPercent val="1"/>
              <c:separator>
</c:separator>
            </c:dLbl>
            <c:dLbl>
              <c:idx val="3"/>
              <c:txPr>
                <a:bodyPr wrap="square"/>
                <a:lstStyle/>
                <a:p>
                  <a:pPr>
                    <a:defRPr b="0" lang="sk-SK" sz="1050" spc="-1" strike="noStrike">
                      <a:solidFill>
                        <a:srgbClr val="000000"/>
                      </a:solidFill>
                      <a:latin typeface="Arial Narrow"/>
                    </a:defRPr>
                  </a:pPr>
                </a:p>
              </c:txPr>
              <c:dLblPos val="bestFit"/>
              <c:showLegendKey val="0"/>
              <c:showVal val="0"/>
              <c:showCatName val="1"/>
              <c:showSerName val="0"/>
              <c:showPercent val="1"/>
              <c:separator>
</c:separator>
            </c:dLbl>
            <c:dLbl>
              <c:idx val="4"/>
              <c:txPr>
                <a:bodyPr wrap="square"/>
                <a:lstStyle/>
                <a:p>
                  <a:pPr>
                    <a:defRPr b="0" lang="sk-SK" sz="1050" spc="-1" strike="noStrike">
                      <a:solidFill>
                        <a:srgbClr val="000000"/>
                      </a:solidFill>
                      <a:latin typeface="Arial Narrow"/>
                    </a:defRPr>
                  </a:pPr>
                </a:p>
              </c:txPr>
              <c:dLblPos val="outEnd"/>
              <c:showLegendKey val="0"/>
              <c:showVal val="0"/>
              <c:showCatName val="1"/>
              <c:showSerName val="0"/>
              <c:showPercent val="1"/>
              <c:separator>
</c:separator>
            </c:dLbl>
            <c:txPr>
              <a:bodyPr wrap="square"/>
              <a:lstStyle/>
              <a:p>
                <a:pPr>
                  <a:defRPr b="0" lang="sk-SK" sz="1050" spc="-1" strike="noStrike">
                    <a:solidFill>
                      <a:srgbClr val="000000"/>
                    </a:solidFill>
                    <a:latin typeface="Arial Narrow"/>
                  </a:defRPr>
                </a:pPr>
              </a:p>
            </c:txPr>
            <c:dLblPos val="outEnd"/>
            <c:showLegendKey val="0"/>
            <c:showVal val="0"/>
            <c:showCatName val="1"/>
            <c:showSerName val="0"/>
            <c:showPercent val="1"/>
            <c:separator>
</c:separator>
            <c:showLeaderLines val="0"/>
          </c:dLbls>
          <c:cat>
            <c:strRef>
              <c:f>categories</c:f>
              <c:strCache>
                <c:ptCount val="5"/>
                <c:pt idx="0">
                  <c:v>0 - 18 rokov</c:v>
                </c:pt>
                <c:pt idx="1">
                  <c:v>19 - 39 rokov</c:v>
                </c:pt>
                <c:pt idx="2">
                  <c:v>40 - 62 rokov</c:v>
                </c:pt>
                <c:pt idx="3">
                  <c:v>63 - 79  rokov</c:v>
                </c:pt>
                <c:pt idx="4">
                  <c:v>nad 80 rokov</c:v>
                </c:pt>
              </c:strCache>
            </c:strRef>
          </c:cat>
          <c:val>
            <c:numRef>
              <c:f>0</c:f>
              <c:numCache>
                <c:formatCode>General</c:formatCode>
                <c:ptCount val="5"/>
                <c:pt idx="0">
                  <c:v>689</c:v>
                </c:pt>
                <c:pt idx="1">
                  <c:v>4711</c:v>
                </c:pt>
                <c:pt idx="2">
                  <c:v>7269</c:v>
                </c:pt>
                <c:pt idx="3">
                  <c:v>15558</c:v>
                </c:pt>
                <c:pt idx="4">
                  <c:v>17475</c:v>
                </c:pt>
              </c:numCache>
            </c:numRef>
          </c:val>
        </c:ser>
      </c:pie3DChart>
    </c:plotArea>
    <c:plotVisOnly val="1"/>
    <c:dispBlanksAs val="gap"/>
  </c:chart>
  <c:spPr>
    <a:solidFill>
      <a:srgbClr val="ffffff"/>
    </a:solidFill>
    <a:ln w="9360">
      <a:noFill/>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pobytová</c:v>
                </c:pt>
              </c:strCache>
            </c:strRef>
          </c:tx>
          <c:spPr>
            <a:solidFill>
              <a:srgbClr val="b7194b"/>
            </a:solidFill>
            <a:ln w="0">
              <a:noFill/>
            </a:ln>
          </c:spPr>
          <c:invertIfNegative val="0"/>
          <c:dLbls>
            <c:numFmt formatCode="#,##0" sourceLinked="0"/>
            <c:txPr>
              <a:bodyPr wrap="square"/>
              <a:lstStyle/>
              <a:p>
                <a:pPr>
                  <a:defRPr b="0" lang="sk-SK" sz="11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3"/>
                <c:pt idx="0">
                  <c:v>2016</c:v>
                </c:pt>
                <c:pt idx="1">
                  <c:v>2017</c:v>
                </c:pt>
                <c:pt idx="2">
                  <c:v>2018</c:v>
                </c:pt>
              </c:strCache>
            </c:strRef>
          </c:cat>
          <c:val>
            <c:numRef>
              <c:f>0</c:f>
              <c:numCache>
                <c:formatCode>General</c:formatCode>
                <c:ptCount val="3"/>
                <c:pt idx="0">
                  <c:v>40278</c:v>
                </c:pt>
                <c:pt idx="1">
                  <c:v>39725</c:v>
                </c:pt>
                <c:pt idx="2">
                  <c:v>40838</c:v>
                </c:pt>
              </c:numCache>
            </c:numRef>
          </c:val>
        </c:ser>
        <c:ser>
          <c:idx val="1"/>
          <c:order val="1"/>
          <c:tx>
            <c:strRef>
              <c:f>label 1</c:f>
              <c:strCache>
                <c:ptCount val="1"/>
                <c:pt idx="0">
                  <c:v>ambulantná</c:v>
                </c:pt>
              </c:strCache>
            </c:strRef>
          </c:tx>
          <c:spPr>
            <a:solidFill>
              <a:srgbClr val="e02c64"/>
            </a:solidFill>
            <a:ln w="0">
              <a:noFill/>
            </a:ln>
          </c:spPr>
          <c:invertIfNegative val="0"/>
          <c:dLbls>
            <c:numFmt formatCode="#,##0" sourceLinked="0"/>
            <c:txPr>
              <a:bodyPr wrap="square"/>
              <a:lstStyle/>
              <a:p>
                <a:pPr>
                  <a:defRPr b="0" lang="sk-SK" sz="11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3"/>
                <c:pt idx="0">
                  <c:v>2016</c:v>
                </c:pt>
                <c:pt idx="1">
                  <c:v>2017</c:v>
                </c:pt>
                <c:pt idx="2">
                  <c:v>2018</c:v>
                </c:pt>
              </c:strCache>
            </c:strRef>
          </c:cat>
          <c:val>
            <c:numRef>
              <c:f>1</c:f>
              <c:numCache>
                <c:formatCode>General</c:formatCode>
                <c:ptCount val="3"/>
                <c:pt idx="0">
                  <c:v>5689</c:v>
                </c:pt>
                <c:pt idx="1">
                  <c:v>7757</c:v>
                </c:pt>
                <c:pt idx="2">
                  <c:v>6682</c:v>
                </c:pt>
              </c:numCache>
            </c:numRef>
          </c:val>
        </c:ser>
        <c:ser>
          <c:idx val="2"/>
          <c:order val="2"/>
          <c:tx>
            <c:strRef>
              <c:f>label 2</c:f>
              <c:strCache>
                <c:ptCount val="1"/>
                <c:pt idx="0">
                  <c:v>terénna</c:v>
                </c:pt>
              </c:strCache>
            </c:strRef>
          </c:tx>
          <c:spPr>
            <a:solidFill>
              <a:srgbClr val="faacbf"/>
            </a:solidFill>
            <a:ln w="0">
              <a:noFill/>
            </a:ln>
          </c:spPr>
          <c:invertIfNegative val="0"/>
          <c:dLbls>
            <c:numFmt formatCode="#,##0" sourceLinked="0"/>
            <c:txPr>
              <a:bodyPr wrap="square"/>
              <a:lstStyle/>
              <a:p>
                <a:pPr>
                  <a:defRPr b="0" lang="sk-SK" sz="11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3"/>
                <c:pt idx="0">
                  <c:v>2016</c:v>
                </c:pt>
                <c:pt idx="1">
                  <c:v>2017</c:v>
                </c:pt>
                <c:pt idx="2">
                  <c:v>2018</c:v>
                </c:pt>
              </c:strCache>
            </c:strRef>
          </c:cat>
          <c:val>
            <c:numRef>
              <c:f>2</c:f>
              <c:numCache>
                <c:formatCode>General</c:formatCode>
                <c:ptCount val="3"/>
                <c:pt idx="0">
                  <c:v>17057</c:v>
                </c:pt>
                <c:pt idx="1">
                  <c:v>15994</c:v>
                </c:pt>
                <c:pt idx="2">
                  <c:v>16124</c:v>
                </c:pt>
              </c:numCache>
            </c:numRef>
          </c:val>
        </c:ser>
        <c:gapWidth val="219"/>
        <c:overlap val="-27"/>
        <c:axId val="94972344"/>
        <c:axId val="98924009"/>
      </c:barChart>
      <c:catAx>
        <c:axId val="9497234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lang="sk-SK" sz="1100" spc="-1" strike="noStrike">
                <a:solidFill>
                  <a:srgbClr val="000000"/>
                </a:solidFill>
                <a:latin typeface="Arial Narrow"/>
              </a:defRPr>
            </a:pPr>
          </a:p>
        </c:txPr>
        <c:crossAx val="98924009"/>
        <c:crosses val="autoZero"/>
        <c:auto val="1"/>
        <c:lblAlgn val="ctr"/>
        <c:lblOffset val="100"/>
        <c:noMultiLvlLbl val="0"/>
      </c:catAx>
      <c:valAx>
        <c:axId val="98924009"/>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lang="sk-SK" sz="1100" spc="-1" strike="noStrike">
                <a:solidFill>
                  <a:srgbClr val="000000"/>
                </a:solidFill>
                <a:latin typeface="Arial Narrow"/>
              </a:defRPr>
            </a:pPr>
          </a:p>
        </c:txPr>
        <c:crossAx val="94972344"/>
        <c:crosses val="autoZero"/>
        <c:crossBetween val="between"/>
      </c:valAx>
      <c:spPr>
        <a:noFill/>
        <a:ln w="0">
          <a:noFill/>
        </a:ln>
      </c:spPr>
    </c:plotArea>
    <c:legend>
      <c:legendPos val="b"/>
      <c:overlay val="0"/>
      <c:spPr>
        <a:noFill/>
        <a:ln w="0">
          <a:noFill/>
        </a:ln>
      </c:spPr>
      <c:txPr>
        <a:bodyPr/>
        <a:lstStyle/>
        <a:p>
          <a:pPr>
            <a:defRPr b="0" lang="sk-SK" sz="1100" spc="-1" strike="noStrike">
              <a:solidFill>
                <a:srgbClr val="000000"/>
              </a:solidFill>
              <a:latin typeface="Arial Narrow"/>
            </a:defRPr>
          </a:pPr>
        </a:p>
      </c:txPr>
    </c:legend>
    <c:plotVisOnly val="1"/>
    <c:dispBlanksAs val="gap"/>
  </c:chart>
  <c:spPr>
    <a:solidFill>
      <a:srgbClr val="ffffff"/>
    </a:solidFill>
    <a:ln w="9360">
      <a:solidFill>
        <a:srgbClr val="ffffff"/>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0305625"/>
          <c:y val="0.143444444444444"/>
          <c:w val="0.9124375"/>
          <c:h val="0.805666666666667"/>
        </c:manualLayout>
      </c:layout>
      <c:pieChart>
        <c:varyColors val="1"/>
        <c:ser>
          <c:idx val="0"/>
          <c:order val="0"/>
          <c:tx>
            <c:strRef>
              <c:f>label 0</c:f>
              <c:strCache>
                <c:ptCount val="1"/>
                <c:pt idx="0">
                  <c:v>Series1</c:v>
                </c:pt>
              </c:strCache>
            </c:strRef>
          </c:tx>
          <c:spPr>
            <a:solidFill>
              <a:srgbClr val="ed7d31"/>
            </a:solidFill>
            <a:ln w="0">
              <a:noFill/>
            </a:ln>
          </c:spPr>
          <c:explosion val="0"/>
          <c:dPt>
            <c:idx val="0"/>
            <c:spPr>
              <a:solidFill>
                <a:srgbClr val="808080"/>
              </a:solidFill>
              <a:ln w="0">
                <a:noFill/>
              </a:ln>
            </c:spPr>
          </c:dPt>
          <c:dPt>
            <c:idx val="1"/>
            <c:spPr>
              <a:solidFill>
                <a:srgbClr val="b7194b"/>
              </a:solidFill>
              <a:ln w="0">
                <a:noFill/>
              </a:ln>
            </c:spPr>
          </c:dPt>
          <c:dPt>
            <c:idx val="2"/>
            <c:spPr>
              <a:solidFill>
                <a:srgbClr val="e02c64"/>
              </a:solidFill>
              <a:ln w="0">
                <a:noFill/>
              </a:ln>
            </c:spPr>
          </c:dPt>
          <c:dPt>
            <c:idx val="3"/>
            <c:spPr>
              <a:solidFill>
                <a:srgbClr val="e85e89"/>
              </a:solidFill>
              <a:ln w="0">
                <a:noFill/>
              </a:ln>
            </c:spPr>
          </c:dPt>
          <c:dPt>
            <c:idx val="4"/>
            <c:spPr>
              <a:solidFill>
                <a:srgbClr val="faacbf"/>
              </a:solidFill>
              <a:ln w="0">
                <a:noFill/>
              </a:ln>
            </c:spPr>
          </c:dPt>
          <c:dPt>
            <c:idx val="5"/>
            <c:spPr>
              <a:solidFill>
                <a:srgbClr val="d9d9d9"/>
              </a:solidFill>
              <a:ln w="0">
                <a:noFill/>
              </a:ln>
            </c:spPr>
          </c:dPt>
          <c:dLbls>
            <c:numFmt formatCode="General" sourceLinked="0"/>
            <c:dLbl>
              <c:idx val="0"/>
              <c:numFmt formatCode="General" sourceLinked="0"/>
              <c:txPr>
                <a:bodyPr wrap="square"/>
                <a:lstStyle/>
                <a:p>
                  <a:pPr>
                    <a:defRPr b="0" lang="sk-SK" sz="1000" spc="-1" strike="noStrike">
                      <a:solidFill>
                        <a:srgbClr val="000000"/>
                      </a:solidFill>
                      <a:latin typeface="Calibri"/>
                    </a:defRPr>
                  </a:pPr>
                </a:p>
              </c:txPr>
              <c:tx>
                <c:rich>
                  <a:bodyPr/>
                  <a:p>
                    <a:r>
                      <a:rPr b="0" lang="sk-SK" sz="1000" spc="-1" strike="noStrike">
                        <a:solidFill>
                          <a:srgbClr val="000000"/>
                        </a:solidFill>
                        <a:latin typeface="Calibri"/>
                      </a:rPr>
                      <a:t>I., 238, 23800,0%</a:t>
                    </a:r>
                  </a:p>
                </c:rich>
              </c:tx>
              <c:dLblPos val="bestFit"/>
              <c:showLegendKey val="0"/>
              <c:showVal val="1"/>
              <c:showCatName val="1"/>
              <c:showSerName val="0"/>
              <c:showPercent val="1"/>
              <c:separator>
</c:separator>
            </c:dLbl>
            <c:dLbl>
              <c:idx val="1"/>
              <c:numFmt formatCode="General" sourceLinked="0"/>
              <c:txPr>
                <a:bodyPr wrap="square"/>
                <a:lstStyle/>
                <a:p>
                  <a:pPr>
                    <a:defRPr b="0" lang="sk-SK" sz="1100" spc="-1" strike="noStrike">
                      <a:solidFill>
                        <a:srgbClr val="000000"/>
                      </a:solidFill>
                      <a:latin typeface="Arial Narrow"/>
                    </a:defRPr>
                  </a:pPr>
                </a:p>
              </c:txPr>
              <c:dLblPos val="bestFit"/>
              <c:showLegendKey val="0"/>
              <c:showVal val="1"/>
              <c:showCatName val="1"/>
              <c:showSerName val="0"/>
              <c:showPercent val="1"/>
              <c:separator>
</c:separator>
            </c:dLbl>
            <c:dLbl>
              <c:idx val="2"/>
              <c:numFmt formatCode="General" sourceLinked="0"/>
              <c:txPr>
                <a:bodyPr wrap="square"/>
                <a:lstStyle/>
                <a:p>
                  <a:pPr>
                    <a:defRPr b="0" lang="sk-SK" sz="1100" spc="-1" strike="noStrike">
                      <a:solidFill>
                        <a:srgbClr val="000000"/>
                      </a:solidFill>
                      <a:latin typeface="Arial Narrow"/>
                    </a:defRPr>
                  </a:pPr>
                </a:p>
              </c:txPr>
              <c:dLblPos val="outEnd"/>
              <c:showLegendKey val="0"/>
              <c:showVal val="1"/>
              <c:showCatName val="1"/>
              <c:showSerName val="0"/>
              <c:showPercent val="1"/>
              <c:separator>
</c:separator>
            </c:dLbl>
            <c:dLbl>
              <c:idx val="3"/>
              <c:numFmt formatCode="General" sourceLinked="0"/>
              <c:txPr>
                <a:bodyPr wrap="square"/>
                <a:lstStyle/>
                <a:p>
                  <a:pPr>
                    <a:defRPr b="0" lang="sk-SK" sz="1100" spc="-1" strike="noStrike">
                      <a:solidFill>
                        <a:srgbClr val="000000"/>
                      </a:solidFill>
                      <a:latin typeface="Arial Narrow"/>
                    </a:defRPr>
                  </a:pPr>
                </a:p>
              </c:txPr>
              <c:dLblPos val="outEnd"/>
              <c:showLegendKey val="0"/>
              <c:showVal val="1"/>
              <c:showCatName val="1"/>
              <c:showSerName val="0"/>
              <c:showPercent val="1"/>
              <c:separator>
</c:separator>
            </c:dLbl>
            <c:dLbl>
              <c:idx val="4"/>
              <c:numFmt formatCode="General" sourceLinked="0"/>
              <c:txPr>
                <a:bodyPr wrap="square"/>
                <a:lstStyle/>
                <a:p>
                  <a:pPr>
                    <a:defRPr b="0" lang="sk-SK" sz="1100" spc="-1" strike="noStrike">
                      <a:solidFill>
                        <a:srgbClr val="000000"/>
                      </a:solidFill>
                      <a:latin typeface="Arial Narrow"/>
                    </a:defRPr>
                  </a:pPr>
                </a:p>
              </c:txPr>
              <c:dLblPos val="outEnd"/>
              <c:showLegendKey val="0"/>
              <c:showVal val="1"/>
              <c:showCatName val="1"/>
              <c:showSerName val="0"/>
              <c:showPercent val="1"/>
              <c:separator>
</c:separator>
            </c:dLbl>
            <c:dLbl>
              <c:idx val="5"/>
              <c:numFmt formatCode="General" sourceLinked="0"/>
              <c:txPr>
                <a:bodyPr wrap="square"/>
                <a:lstStyle/>
                <a:p>
                  <a:pPr>
                    <a:defRPr b="0" lang="sk-SK" sz="1100" spc="-1" strike="noStrike">
                      <a:solidFill>
                        <a:srgbClr val="000000"/>
                      </a:solidFill>
                      <a:latin typeface="Arial Narrow"/>
                    </a:defRPr>
                  </a:pPr>
                </a:p>
              </c:txPr>
              <c:dLblPos val="outEnd"/>
              <c:showLegendKey val="0"/>
              <c:showVal val="1"/>
              <c:showCatName val="1"/>
              <c:showSerName val="0"/>
              <c:showPercent val="1"/>
              <c:separator>
</c:separator>
            </c:dLbl>
            <c:txPr>
              <a:bodyPr wrap="square"/>
              <a:lstStyle/>
              <a:p>
                <a:pPr>
                  <a:defRPr b="0" lang="sk-SK" sz="1100" spc="-1" strike="noStrike">
                    <a:solidFill>
                      <a:srgbClr val="000000"/>
                    </a:solidFill>
                    <a:latin typeface="Arial Narrow"/>
                  </a:defRPr>
                </a:pPr>
              </a:p>
            </c:txPr>
            <c:dLblPos val="outEnd"/>
            <c:showLegendKey val="0"/>
            <c:showVal val="1"/>
            <c:showCatName val="1"/>
            <c:showSerName val="0"/>
            <c:showPercent val="1"/>
            <c:separator>
</c:separator>
            <c:showLeaderLines val="0"/>
          </c:dLbls>
          <c:cat>
            <c:strRef>
              <c:f>categories</c:f>
              <c:strCache>
                <c:ptCount val="6"/>
                <c:pt idx="0">
                  <c:v>I.</c:v>
                </c:pt>
                <c:pt idx="1">
                  <c:v>II.</c:v>
                </c:pt>
                <c:pt idx="2">
                  <c:v>III.</c:v>
                </c:pt>
                <c:pt idx="3">
                  <c:v>IV.</c:v>
                </c:pt>
                <c:pt idx="4">
                  <c:v>V.</c:v>
                </c:pt>
                <c:pt idx="5">
                  <c:v>VI.</c:v>
                </c:pt>
              </c:strCache>
            </c:strRef>
          </c:cat>
          <c:val>
            <c:numRef>
              <c:f>0</c:f>
              <c:numCache>
                <c:formatCode>General</c:formatCode>
                <c:ptCount val="6"/>
                <c:pt idx="0">
                  <c:v>238</c:v>
                </c:pt>
                <c:pt idx="1">
                  <c:v>3338</c:v>
                </c:pt>
                <c:pt idx="2">
                  <c:v>3057</c:v>
                </c:pt>
                <c:pt idx="3">
                  <c:v>9940</c:v>
                </c:pt>
                <c:pt idx="4">
                  <c:v>10126</c:v>
                </c:pt>
                <c:pt idx="5">
                  <c:v>30603</c:v>
                </c:pt>
              </c:numCache>
            </c:numRef>
          </c:val>
        </c:ser>
        <c:firstSliceAng val="0"/>
      </c:pieChart>
      <c:spPr>
        <a:noFill/>
        <a:ln w="0">
          <a:noFill/>
        </a:ln>
      </c:spPr>
    </c:plotArea>
    <c:plotVisOnly val="1"/>
    <c:dispBlanksAs val="gap"/>
  </c:chart>
  <c:spPr>
    <a:solidFill>
      <a:srgbClr val="ffffff"/>
    </a:solidFill>
    <a:ln w="9360">
      <a:noFill/>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3684375"/>
          <c:y val="0.056"/>
          <c:w val="0.5188125"/>
          <c:h val="0.807444444444444"/>
        </c:manualLayout>
      </c:layout>
      <c:barChart>
        <c:barDir val="bar"/>
        <c:grouping val="clustered"/>
        <c:varyColors val="0"/>
        <c:ser>
          <c:idx val="0"/>
          <c:order val="0"/>
          <c:tx>
            <c:strRef>
              <c:f>label 0</c:f>
              <c:strCache>
                <c:ptCount val="1"/>
                <c:pt idx="0">
                  <c:v>celkové výdavky v roku 2017</c:v>
                </c:pt>
              </c:strCache>
            </c:strRef>
          </c:tx>
          <c:spPr>
            <a:solidFill>
              <a:srgbClr val="808080"/>
            </a:solidFill>
            <a:ln w="0">
              <a:noFill/>
            </a:ln>
          </c:spPr>
          <c:invertIfNegative val="0"/>
          <c:dLbls>
            <c:numFmt formatCode="#,##0" sourceLinked="0"/>
            <c:txPr>
              <a:bodyPr wrap="square"/>
              <a:lstStyle/>
              <a:p>
                <a:pPr>
                  <a:defRPr b="0" lang="sk-SK" sz="105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8"/>
                <c:pt idx="0">
                  <c:v>domov sociálnych služieb </c:v>
                </c:pt>
                <c:pt idx="1">
                  <c:v>denný stacionár</c:v>
                </c:pt>
                <c:pt idx="2">
                  <c:v>zariadenie pre seniorov</c:v>
                </c:pt>
                <c:pt idx="3">
                  <c:v>špecializované zariadenie</c:v>
                </c:pt>
                <c:pt idx="4">
                  <c:v>zariadenie podporovaného bývania</c:v>
                </c:pt>
                <c:pt idx="5">
                  <c:v>zariadenia opatrovateľskej služby</c:v>
                </c:pt>
                <c:pt idx="6">
                  <c:v>rehabilitačné stredisko</c:v>
                </c:pt>
                <c:pt idx="7">
                  <c:v>opatrovateľská služba</c:v>
                </c:pt>
              </c:strCache>
            </c:strRef>
          </c:cat>
          <c:val>
            <c:numRef>
              <c:f>0</c:f>
              <c:numCache>
                <c:formatCode>General</c:formatCode>
                <c:ptCount val="8"/>
                <c:pt idx="0">
                  <c:v>146789429</c:v>
                </c:pt>
                <c:pt idx="1">
                  <c:v>12481839</c:v>
                </c:pt>
                <c:pt idx="2">
                  <c:v>169218322</c:v>
                </c:pt>
                <c:pt idx="3">
                  <c:v>71910191</c:v>
                </c:pt>
                <c:pt idx="4">
                  <c:v>3802601</c:v>
                </c:pt>
                <c:pt idx="5">
                  <c:v>21897073</c:v>
                </c:pt>
                <c:pt idx="6">
                  <c:v>3267717</c:v>
                </c:pt>
                <c:pt idx="7">
                  <c:v>59568574</c:v>
                </c:pt>
              </c:numCache>
            </c:numRef>
          </c:val>
        </c:ser>
        <c:ser>
          <c:idx val="1"/>
          <c:order val="1"/>
          <c:tx>
            <c:strRef>
              <c:f>label 1</c:f>
              <c:strCache>
                <c:ptCount val="1"/>
                <c:pt idx="0">
                  <c:v>celkové výdavky v roku 2018</c:v>
                </c:pt>
              </c:strCache>
            </c:strRef>
          </c:tx>
          <c:spPr>
            <a:gradFill>
              <a:gsLst>
                <a:gs pos="0">
                  <a:srgbClr val="f5c1b0"/>
                </a:gs>
                <a:gs pos="100000">
                  <a:srgbClr val="f6b59f"/>
                </a:gs>
              </a:gsLst>
              <a:lin ang="5400000"/>
            </a:gradFill>
            <a:ln w="0">
              <a:noFill/>
            </a:ln>
          </c:spPr>
          <c:invertIfNegative val="0"/>
          <c:dLbls>
            <c:numFmt formatCode="#,##0" sourceLinked="0"/>
            <c:txPr>
              <a:bodyPr wrap="square"/>
              <a:lstStyle/>
              <a:p>
                <a:pPr>
                  <a:defRPr b="0" lang="sk-SK" sz="105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8"/>
                <c:pt idx="0">
                  <c:v>domov sociálnych služieb </c:v>
                </c:pt>
                <c:pt idx="1">
                  <c:v>denný stacionár</c:v>
                </c:pt>
                <c:pt idx="2">
                  <c:v>zariadenie pre seniorov</c:v>
                </c:pt>
                <c:pt idx="3">
                  <c:v>špecializované zariadenie</c:v>
                </c:pt>
                <c:pt idx="4">
                  <c:v>zariadenie podporovaného bývania</c:v>
                </c:pt>
                <c:pt idx="5">
                  <c:v>zariadenia opatrovateľskej služby</c:v>
                </c:pt>
                <c:pt idx="6">
                  <c:v>rehabilitačné stredisko</c:v>
                </c:pt>
                <c:pt idx="7">
                  <c:v>opatrovateľská služba</c:v>
                </c:pt>
              </c:strCache>
            </c:strRef>
          </c:cat>
          <c:val>
            <c:numRef>
              <c:f>1</c:f>
              <c:numCache>
                <c:formatCode>General</c:formatCode>
                <c:ptCount val="8"/>
                <c:pt idx="0">
                  <c:v>151634907</c:v>
                </c:pt>
                <c:pt idx="1">
                  <c:v>9400990</c:v>
                </c:pt>
                <c:pt idx="2">
                  <c:v>192978921</c:v>
                </c:pt>
                <c:pt idx="3">
                  <c:v>89631095</c:v>
                </c:pt>
                <c:pt idx="4">
                  <c:v>4214073</c:v>
                </c:pt>
                <c:pt idx="5">
                  <c:v>24030654</c:v>
                </c:pt>
                <c:pt idx="6">
                  <c:v>4055286</c:v>
                </c:pt>
                <c:pt idx="7">
                  <c:v>74629956.28</c:v>
                </c:pt>
              </c:numCache>
            </c:numRef>
          </c:val>
        </c:ser>
        <c:gapWidth val="150"/>
        <c:overlap val="0"/>
        <c:axId val="88784047"/>
        <c:axId val="23260380"/>
      </c:barChart>
      <c:catAx>
        <c:axId val="88784047"/>
        <c:scaling>
          <c:orientation val="minMax"/>
        </c:scaling>
        <c:delete val="0"/>
        <c:axPos val="b"/>
        <c:numFmt formatCode="General" sourceLinked="0"/>
        <c:majorTickMark val="none"/>
        <c:minorTickMark val="none"/>
        <c:tickLblPos val="nextTo"/>
        <c:spPr>
          <a:ln w="12600">
            <a:solidFill>
              <a:srgbClr val="d9d9d9"/>
            </a:solidFill>
            <a:round/>
          </a:ln>
        </c:spPr>
        <c:txPr>
          <a:bodyPr/>
          <a:lstStyle/>
          <a:p>
            <a:pPr>
              <a:defRPr b="0" lang="sk-SK" sz="1050" spc="-1" strike="noStrike">
                <a:solidFill>
                  <a:srgbClr val="000000"/>
                </a:solidFill>
                <a:latin typeface="Arial Narrow"/>
              </a:defRPr>
            </a:pPr>
          </a:p>
        </c:txPr>
        <c:crossAx val="23260380"/>
        <c:crosses val="autoZero"/>
        <c:auto val="1"/>
        <c:lblAlgn val="ctr"/>
        <c:lblOffset val="100"/>
        <c:noMultiLvlLbl val="0"/>
      </c:catAx>
      <c:valAx>
        <c:axId val="23260380"/>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lang="sk-SK" sz="1050" spc="-1" strike="noStrike">
                <a:solidFill>
                  <a:srgbClr val="000000"/>
                </a:solidFill>
                <a:latin typeface="Arial Narrow"/>
              </a:defRPr>
            </a:pPr>
          </a:p>
        </c:txPr>
        <c:crossAx val="88784047"/>
        <c:crosses val="autoZero"/>
        <c:crossBetween val="between"/>
      </c:valAx>
      <c:spPr>
        <a:noFill/>
        <a:ln w="0">
          <a:noFill/>
        </a:ln>
      </c:spPr>
    </c:plotArea>
    <c:legend>
      <c:legendPos val="b"/>
      <c:overlay val="0"/>
      <c:spPr>
        <a:noFill/>
        <a:ln w="0">
          <a:noFill/>
        </a:ln>
      </c:spPr>
      <c:txPr>
        <a:bodyPr/>
        <a:lstStyle/>
        <a:p>
          <a:pPr>
            <a:defRPr b="0" lang="sk-SK" sz="1050" spc="-1" strike="noStrike">
              <a:solidFill>
                <a:srgbClr val="000000"/>
              </a:solidFill>
              <a:latin typeface="Arial Narrow"/>
            </a:defRPr>
          </a:pPr>
        </a:p>
      </c:txPr>
    </c:legend>
    <c:plotVisOnly val="1"/>
    <c:dispBlanksAs val="gap"/>
  </c:chart>
  <c:spPr>
    <a:solidFill>
      <a:srgbClr val="ffffff"/>
    </a:solidFill>
    <a:ln w="9360">
      <a:noFill/>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prijímatelia</c:v>
                </c:pt>
              </c:strCache>
            </c:strRef>
          </c:tx>
          <c:spPr>
            <a:solidFill>
              <a:srgbClr val="b7194b"/>
            </a:solidFill>
            <a:ln w="28440">
              <a:solidFill>
                <a:srgbClr val="b7194b"/>
              </a:solidFill>
              <a:round/>
            </a:ln>
          </c:spPr>
          <c:marker>
            <c:symbol val="none"/>
          </c:marker>
          <c:dPt>
            <c:idx val="0"/>
            <c:marker>
              <c:symbol val="none"/>
            </c:marker>
          </c:dPt>
          <c:dPt>
            <c:idx val="1"/>
            <c:marker>
              <c:symbol val="none"/>
            </c:marker>
          </c:dPt>
          <c:dPt>
            <c:idx val="2"/>
            <c:marker>
              <c:symbol val="none"/>
            </c:marker>
          </c:dPt>
          <c:dPt>
            <c:idx val="3"/>
            <c:marker>
              <c:symbol val="none"/>
            </c:marker>
          </c:dPt>
          <c:dLbls>
            <c:numFmt formatCode="#,##0" sourceLinked="0"/>
            <c:dLbl>
              <c:idx val="0"/>
              <c:layout>
                <c:manualLayout>
                  <c:x val="-0.0331356662162931"/>
                  <c:y val="-0.0423971025968123"/>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1"/>
              <c:layout>
                <c:manualLayout>
                  <c:x val="-0.0374611599611864"/>
                  <c:y val="-0.038672707810965"/>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2"/>
              <c:layout>
                <c:manualLayout>
                  <c:x val="-0.0526004728132388"/>
                  <c:y val="-0.0377358490566038"/>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3"/>
              <c:layout>
                <c:manualLayout>
                  <c:x val="-0.0526004728132388"/>
                  <c:y val="-0.0377358490566038"/>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txPr>
              <a:bodyPr wrap="square"/>
              <a:lstStyle/>
              <a:p>
                <a:pPr>
                  <a:defRPr b="0" lang="sk-SK" sz="1100" spc="-1" strike="noStrike">
                    <a:solidFill>
                      <a:srgbClr val="000000"/>
                    </a:solidFill>
                    <a:latin typeface="Arial Narrow"/>
                  </a:defRPr>
                </a:pPr>
              </a:p>
            </c:txPr>
            <c:dLblPos val="ct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2014</c:v>
                </c:pt>
                <c:pt idx="1">
                  <c:v>2015</c:v>
                </c:pt>
                <c:pt idx="2">
                  <c:v>2016</c:v>
                </c:pt>
                <c:pt idx="3">
                  <c:v>2017</c:v>
                </c:pt>
                <c:pt idx="4">
                  <c:v>2018</c:v>
                </c:pt>
              </c:strCache>
            </c:strRef>
          </c:cat>
          <c:val>
            <c:numRef>
              <c:f>0</c:f>
              <c:numCache>
                <c:formatCode>General</c:formatCode>
                <c:ptCount val="5"/>
                <c:pt idx="0">
                  <c:v>54793</c:v>
                </c:pt>
                <c:pt idx="1">
                  <c:v>58097</c:v>
                </c:pt>
                <c:pt idx="2">
                  <c:v>61786</c:v>
                </c:pt>
                <c:pt idx="3">
                  <c:v>62674</c:v>
                </c:pt>
                <c:pt idx="4">
                  <c:v>61826</c:v>
                </c:pt>
              </c:numCache>
            </c:numRef>
          </c:val>
          <c:smooth val="0"/>
        </c:ser>
        <c:ser>
          <c:idx val="1"/>
          <c:order val="1"/>
          <c:tx>
            <c:strRef>
              <c:f>label 1</c:f>
              <c:strCache>
                <c:ptCount val="1"/>
                <c:pt idx="0">
                  <c:v>zamestnanci</c:v>
                </c:pt>
              </c:strCache>
            </c:strRef>
          </c:tx>
          <c:spPr>
            <a:solidFill>
              <a:srgbClr val="e85e89"/>
            </a:solidFill>
            <a:ln w="28440">
              <a:solidFill>
                <a:srgbClr val="e85e89"/>
              </a:solidFill>
              <a:round/>
            </a:ln>
          </c:spPr>
          <c:marker>
            <c:symbol val="none"/>
          </c:marker>
          <c:dPt>
            <c:idx val="0"/>
            <c:marker>
              <c:symbol val="none"/>
            </c:marker>
          </c:dPt>
          <c:dPt>
            <c:idx val="1"/>
            <c:marker>
              <c:symbol val="none"/>
            </c:marker>
          </c:dPt>
          <c:dPt>
            <c:idx val="2"/>
            <c:marker>
              <c:symbol val="none"/>
            </c:marker>
          </c:dPt>
          <c:dPt>
            <c:idx val="3"/>
            <c:marker>
              <c:symbol val="none"/>
            </c:marker>
          </c:dPt>
          <c:dLbls>
            <c:numFmt formatCode="#,##0" sourceLinked="0"/>
            <c:dLbl>
              <c:idx val="0"/>
              <c:layout>
                <c:manualLayout>
                  <c:x val="-0.0526004728132388"/>
                  <c:y val="0.0209643605870021"/>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1"/>
              <c:layout>
                <c:manualLayout>
                  <c:x val="-0.0526004728132389"/>
                  <c:y val="0.0251572327044025"/>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2"/>
              <c:layout>
                <c:manualLayout>
                  <c:x val="-0.0526004728132388"/>
                  <c:y val="0.0335429769392032"/>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3"/>
              <c:layout>
                <c:manualLayout>
                  <c:x val="-0.0526004728132388"/>
                  <c:y val="0.0293501048218029"/>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txPr>
              <a:bodyPr wrap="square"/>
              <a:lstStyle/>
              <a:p>
                <a:pPr>
                  <a:defRPr b="0" lang="sk-SK" sz="1100" spc="-1" strike="noStrike">
                    <a:solidFill>
                      <a:srgbClr val="000000"/>
                    </a:solidFill>
                    <a:latin typeface="Arial Narrow"/>
                  </a:defRPr>
                </a:pPr>
              </a:p>
            </c:txPr>
            <c:dLblPos val="ct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2014</c:v>
                </c:pt>
                <c:pt idx="1">
                  <c:v>2015</c:v>
                </c:pt>
                <c:pt idx="2">
                  <c:v>2016</c:v>
                </c:pt>
                <c:pt idx="3">
                  <c:v>2017</c:v>
                </c:pt>
                <c:pt idx="4">
                  <c:v>2018</c:v>
                </c:pt>
              </c:strCache>
            </c:strRef>
          </c:cat>
          <c:val>
            <c:numRef>
              <c:f>1</c:f>
              <c:numCache>
                <c:formatCode>General</c:formatCode>
                <c:ptCount val="5"/>
                <c:pt idx="0">
                  <c:v>29379</c:v>
                </c:pt>
                <c:pt idx="1">
                  <c:v>30541</c:v>
                </c:pt>
                <c:pt idx="2">
                  <c:v>32866</c:v>
                </c:pt>
                <c:pt idx="3">
                  <c:v>33594</c:v>
                </c:pt>
                <c:pt idx="4">
                  <c:v>34052</c:v>
                </c:pt>
              </c:numCache>
            </c:numRef>
          </c:val>
          <c:smooth val="0"/>
        </c:ser>
        <c:hiLowLines>
          <c:spPr>
            <a:ln w="0">
              <a:noFill/>
            </a:ln>
          </c:spPr>
        </c:hiLowLines>
        <c:marker val="0"/>
        <c:axId val="84700533"/>
        <c:axId val="10168129"/>
      </c:lineChart>
      <c:lineChart>
        <c:grouping val="standard"/>
        <c:varyColors val="0"/>
        <c:ser>
          <c:idx val="2"/>
          <c:order val="2"/>
          <c:tx>
            <c:strRef>
              <c:f>label 2</c:f>
              <c:strCache>
                <c:ptCount val="1"/>
                <c:pt idx="0">
                  <c:v>výdavky v (tis. €)</c:v>
                </c:pt>
              </c:strCache>
            </c:strRef>
          </c:tx>
          <c:spPr>
            <a:solidFill>
              <a:srgbClr val="a6a6a6"/>
            </a:solidFill>
            <a:ln w="28440">
              <a:solidFill>
                <a:srgbClr val="a6a6a6"/>
              </a:solidFill>
              <a:round/>
            </a:ln>
          </c:spPr>
          <c:marker>
            <c:symbol val="none"/>
          </c:marker>
          <c:dPt>
            <c:idx val="0"/>
            <c:marker>
              <c:symbol val="none"/>
            </c:marker>
          </c:dPt>
          <c:dPt>
            <c:idx val="1"/>
            <c:marker>
              <c:symbol val="none"/>
            </c:marker>
          </c:dPt>
          <c:dPt>
            <c:idx val="2"/>
            <c:marker>
              <c:symbol val="none"/>
            </c:marker>
          </c:dPt>
          <c:dPt>
            <c:idx val="3"/>
            <c:marker>
              <c:symbol val="none"/>
            </c:marker>
          </c:dPt>
          <c:dLbls>
            <c:numFmt formatCode="#,##0" sourceLinked="0"/>
            <c:dLbl>
              <c:idx val="0"/>
              <c:layout>
                <c:manualLayout>
                  <c:x val="-0.0585106473561186"/>
                  <c:y val="0.0363304447279286"/>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1"/>
              <c:layout>
                <c:manualLayout>
                  <c:x val="-0.0585106382978723"/>
                  <c:y val="-0.0251572327044026"/>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2"/>
              <c:layout>
                <c:manualLayout>
                  <c:x val="-0.0579066108870975"/>
                  <c:y val="-0.0423971025968123"/>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dLbl>
              <c:idx val="3"/>
              <c:layout>
                <c:manualLayout>
                  <c:x val="-0.0585106382978722"/>
                  <c:y val="-0.0335429769392034"/>
                </c:manualLayout>
              </c:layout>
              <c:numFmt formatCode="#,##0" sourceLinked="0"/>
              <c:txPr>
                <a:bodyPr wrap="square"/>
                <a:lstStyle/>
                <a:p>
                  <a:pPr>
                    <a:defRPr b="0" lang="sk-SK" sz="1100" spc="-1" strike="noStrike">
                      <a:solidFill>
                        <a:srgbClr val="000000"/>
                      </a:solidFill>
                      <a:latin typeface="Arial Narrow"/>
                    </a:defRPr>
                  </a:pPr>
                </a:p>
              </c:txPr>
              <c:dLblPos val="r"/>
              <c:showLegendKey val="0"/>
              <c:showVal val="1"/>
              <c:showCatName val="0"/>
              <c:showSerName val="0"/>
              <c:showPercent val="0"/>
              <c:separator>; </c:separator>
            </c:dLbl>
            <c:txPr>
              <a:bodyPr wrap="square"/>
              <a:lstStyle/>
              <a:p>
                <a:pPr>
                  <a:defRPr b="0" lang="sk-SK" sz="1100" spc="-1" strike="noStrike">
                    <a:solidFill>
                      <a:srgbClr val="000000"/>
                    </a:solidFill>
                    <a:latin typeface="Arial Narrow"/>
                  </a:defRPr>
                </a:pPr>
              </a:p>
            </c:txPr>
            <c:dLblPos val="ctr"/>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5"/>
                <c:pt idx="0">
                  <c:v>2014</c:v>
                </c:pt>
                <c:pt idx="1">
                  <c:v>2015</c:v>
                </c:pt>
                <c:pt idx="2">
                  <c:v>2016</c:v>
                </c:pt>
                <c:pt idx="3">
                  <c:v>2017</c:v>
                </c:pt>
                <c:pt idx="4">
                  <c:v>2018</c:v>
                </c:pt>
              </c:strCache>
            </c:strRef>
          </c:cat>
          <c:val>
            <c:numRef>
              <c:f>2</c:f>
              <c:numCache>
                <c:formatCode>General</c:formatCode>
                <c:ptCount val="5"/>
                <c:pt idx="0">
                  <c:v>253999</c:v>
                </c:pt>
                <c:pt idx="1">
                  <c:v>411758</c:v>
                </c:pt>
                <c:pt idx="2">
                  <c:v>442710</c:v>
                </c:pt>
                <c:pt idx="3">
                  <c:v>488936</c:v>
                </c:pt>
                <c:pt idx="4">
                  <c:v>519566</c:v>
                </c:pt>
              </c:numCache>
            </c:numRef>
          </c:val>
          <c:smooth val="0"/>
        </c:ser>
        <c:hiLowLines>
          <c:spPr>
            <a:ln w="0">
              <a:noFill/>
            </a:ln>
          </c:spPr>
        </c:hiLowLines>
        <c:marker val="0"/>
        <c:axId val="28158920"/>
        <c:axId val="45422133"/>
      </c:lineChart>
      <c:catAx>
        <c:axId val="8470053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lang="sk-SK" sz="1100" spc="-1" strike="noStrike">
                <a:solidFill>
                  <a:srgbClr val="000000"/>
                </a:solidFill>
                <a:latin typeface="Arial Narrow"/>
              </a:defRPr>
            </a:pPr>
          </a:p>
        </c:txPr>
        <c:crossAx val="10168129"/>
        <c:crosses val="autoZero"/>
        <c:auto val="1"/>
        <c:lblAlgn val="ctr"/>
        <c:lblOffset val="100"/>
        <c:noMultiLvlLbl val="0"/>
      </c:catAx>
      <c:valAx>
        <c:axId val="10168129"/>
        <c:scaling>
          <c:orientation val="minMax"/>
          <c:max val="100000"/>
          <c:min val="0"/>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lang="sk-SK" sz="1100" spc="-1" strike="noStrike">
                <a:solidFill>
                  <a:srgbClr val="000000"/>
                </a:solidFill>
                <a:latin typeface="Arial Narrow"/>
              </a:defRPr>
            </a:pPr>
          </a:p>
        </c:txPr>
        <c:crossAx val="84700533"/>
        <c:crosses val="autoZero"/>
        <c:crossBetween val="between"/>
        <c:majorUnit val="10000"/>
        <c:dispUnits>
          <c:builtInUnit val="thousands"/>
          <c:dispUnitsLbl/>
        </c:dispUnits>
      </c:valAx>
      <c:catAx>
        <c:axId val="28158920"/>
        <c:scaling>
          <c:orientation val="minMax"/>
        </c:scaling>
        <c:delete val="1"/>
        <c:axPos val="t"/>
        <c:numFmt formatCode="[$-41B]dd/mm/yyyy" sourceLinked="1"/>
        <c:majorTickMark val="out"/>
        <c:minorTickMark val="none"/>
        <c:tickLblPos val="nextTo"/>
        <c:spPr>
          <a:ln w="6480">
            <a:solidFill>
              <a:srgbClr val="8b8b8b"/>
            </a:solidFill>
            <a:round/>
          </a:ln>
        </c:spPr>
        <c:txPr>
          <a:bodyPr/>
          <a:lstStyle/>
          <a:p>
            <a:pPr>
              <a:defRPr b="0" lang="sk-SK" sz="1000" spc="-1" strike="noStrike">
                <a:solidFill>
                  <a:srgbClr val="000000"/>
                </a:solidFill>
                <a:latin typeface="Calibri"/>
              </a:defRPr>
            </a:pPr>
          </a:p>
        </c:txPr>
        <c:crossAx val="45422133"/>
        <c:auto val="1"/>
        <c:lblAlgn val="ctr"/>
        <c:lblOffset val="100"/>
        <c:noMultiLvlLbl val="0"/>
      </c:catAx>
      <c:valAx>
        <c:axId val="45422133"/>
        <c:scaling>
          <c:orientation val="minMax"/>
          <c:max val="1000000"/>
        </c:scaling>
        <c:delete val="0"/>
        <c:axPos val="r"/>
        <c:numFmt formatCode="#,##0" sourceLinked="0"/>
        <c:majorTickMark val="out"/>
        <c:minorTickMark val="none"/>
        <c:tickLblPos val="nextTo"/>
        <c:spPr>
          <a:ln w="6480">
            <a:noFill/>
          </a:ln>
        </c:spPr>
        <c:txPr>
          <a:bodyPr/>
          <a:lstStyle/>
          <a:p>
            <a:pPr>
              <a:defRPr b="0" lang="sk-SK" sz="1100" spc="-1" strike="noStrike">
                <a:solidFill>
                  <a:srgbClr val="000000"/>
                </a:solidFill>
                <a:latin typeface="Arial Narrow"/>
              </a:defRPr>
            </a:pPr>
          </a:p>
        </c:txPr>
        <c:crossAx val="28158920"/>
        <c:crosses val="max"/>
        <c:crossBetween val="between"/>
      </c:valAx>
      <c:spPr>
        <a:noFill/>
        <a:ln w="0">
          <a:noFill/>
        </a:ln>
      </c:spPr>
    </c:plotArea>
    <c:legend>
      <c:legendPos val="b"/>
      <c:overlay val="0"/>
      <c:spPr>
        <a:noFill/>
        <a:ln w="0">
          <a:noFill/>
        </a:ln>
      </c:spPr>
      <c:txPr>
        <a:bodyPr/>
        <a:lstStyle/>
        <a:p>
          <a:pPr>
            <a:defRPr b="0" lang="sk-SK" sz="1100" spc="-1" strike="noStrike">
              <a:solidFill>
                <a:srgbClr val="000000"/>
              </a:solidFill>
              <a:latin typeface="Arial Narrow"/>
            </a:defRPr>
          </a:pPr>
        </a:p>
      </c:txPr>
    </c:legend>
    <c:plotVisOnly val="1"/>
    <c:dispBlanksAs val="gap"/>
  </c:chart>
  <c:spPr>
    <a:solidFill>
      <a:srgbClr val="ffffff"/>
    </a:solidFill>
    <a:ln w="9360">
      <a:noFill/>
    </a:ln>
  </c:spPr>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26825"/>
          <c:y val="0.0285555555555556"/>
          <c:w val="0.7059375"/>
          <c:h val="0.789222222222222"/>
        </c:manualLayout>
      </c:layout>
      <c:barChart>
        <c:barDir val="bar"/>
        <c:grouping val="clustered"/>
        <c:varyColors val="0"/>
        <c:ser>
          <c:idx val="0"/>
          <c:order val="0"/>
          <c:tx>
            <c:strRef>
              <c:f>label 0</c:f>
              <c:strCache>
                <c:ptCount val="1"/>
                <c:pt idx="0">
                  <c:v>obce a vyššie územné celky</c:v>
                </c:pt>
              </c:strCache>
            </c:strRef>
          </c:tx>
          <c:spPr>
            <a:solidFill>
              <a:srgbClr val="faacbf"/>
            </a:solidFill>
            <a:ln w="9360">
              <a:noFill/>
            </a:ln>
          </c:spPr>
          <c:invertIfNegative val="0"/>
          <c:dLbls>
            <c:numFmt formatCode="#,##0"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nízkoprahové denné centrum</c:v>
                </c:pt>
                <c:pt idx="1">
                  <c:v>nízkoprah. s.služba pre deti a rodinu</c:v>
                </c:pt>
                <c:pt idx="2">
                  <c:v>prepravná služba*</c:v>
                </c:pt>
                <c:pt idx="3">
                  <c:v>tlmočnícka služba</c:v>
                </c:pt>
                <c:pt idx="4">
                  <c:v>sprostredkovanie osobnej asistencie</c:v>
                </c:pt>
                <c:pt idx="5">
                  <c:v>požičiavanie pomôcok</c:v>
                </c:pt>
                <c:pt idx="6">
                  <c:v>krízová pomoc prostredníctvom IKT</c:v>
                </c:pt>
                <c:pt idx="7">
                  <c:v>denné centrum</c:v>
                </c:pt>
                <c:pt idx="8">
                  <c:v>jedáleň</c:v>
                </c:pt>
                <c:pt idx="9">
                  <c:v>práčovňa</c:v>
                </c:pt>
                <c:pt idx="10">
                  <c:v>stredisko osobnej hygieny</c:v>
                </c:pt>
                <c:pt idx="11">
                  <c:v>komunitné centrum</c:v>
                </c:pt>
                <c:pt idx="12">
                  <c:v>podpora samostatného bývania</c:v>
                </c:pt>
                <c:pt idx="13">
                  <c:v>služba včasnej intervencie</c:v>
                </c:pt>
                <c:pt idx="14">
                  <c:v>terénna služba krízovej intervencie</c:v>
                </c:pt>
                <c:pt idx="15">
                  <c:v/>
                </c:pt>
                <c:pt idx="16">
                  <c:v/>
                </c:pt>
                <c:pt idx="17">
                  <c:v/>
                </c:pt>
                <c:pt idx="18">
                  <c:v>základné sociálne poradenstvo</c:v>
                </c:pt>
                <c:pt idx="19">
                  <c:v>špecializované soc. poradenstvo</c:v>
                </c:pt>
                <c:pt idx="20">
                  <c:v>sociálna rehabilitácia</c:v>
                </c:pt>
              </c:strCache>
            </c:strRef>
          </c:cat>
          <c:val>
            <c:numRef>
              <c:f>0</c:f>
              <c:numCache>
                <c:formatCode>General</c:formatCode>
                <c:ptCount val="21"/>
                <c:pt idx="0">
                  <c:v>638</c:v>
                </c:pt>
                <c:pt idx="1">
                  <c:v>1881</c:v>
                </c:pt>
                <c:pt idx="2">
                  <c:v>10286</c:v>
                </c:pt>
                <c:pt idx="3">
                  <c:v>2</c:v>
                </c:pt>
                <c:pt idx="4">
                  <c:v>1</c:v>
                </c:pt>
                <c:pt idx="5">
                  <c:v>366</c:v>
                </c:pt>
                <c:pt idx="6">
                  <c:v>0</c:v>
                </c:pt>
                <c:pt idx="7">
                  <c:v>44109</c:v>
                </c:pt>
                <c:pt idx="8">
                  <c:v>19688</c:v>
                </c:pt>
                <c:pt idx="9">
                  <c:v>2660</c:v>
                </c:pt>
                <c:pt idx="10">
                  <c:v>5487</c:v>
                </c:pt>
                <c:pt idx="11">
                  <c:v>24504</c:v>
                </c:pt>
                <c:pt idx="12">
                  <c:v>61</c:v>
                </c:pt>
                <c:pt idx="13">
                  <c:v>399</c:v>
                </c:pt>
                <c:pt idx="14">
                  <c:v>14878</c:v>
                </c:pt>
                <c:pt idx="15">
                  <c:v>871</c:v>
                </c:pt>
              </c:numCache>
            </c:numRef>
          </c:val>
        </c:ser>
        <c:ser>
          <c:idx val="1"/>
          <c:order val="1"/>
          <c:tx>
            <c:strRef>
              <c:f>label 1</c:f>
              <c:strCache>
                <c:ptCount val="1"/>
                <c:pt idx="0">
                  <c:v>neverejní poskytovatelia</c:v>
                </c:pt>
              </c:strCache>
            </c:strRef>
          </c:tx>
          <c:spPr>
            <a:solidFill>
              <a:srgbClr val="e02c64"/>
            </a:solidFill>
            <a:ln w="9360">
              <a:noFill/>
            </a:ln>
          </c:spPr>
          <c:invertIfNegative val="0"/>
          <c:dPt>
            <c:idx val="11"/>
            <c:invertIfNegative val="0"/>
            <c:spPr>
              <a:solidFill>
                <a:srgbClr val="e02c64"/>
              </a:solidFill>
              <a:ln w="9360">
                <a:noFill/>
              </a:ln>
            </c:spPr>
          </c:dPt>
          <c:dLbls>
            <c:numFmt formatCode="#,##0" sourceLinked="0"/>
            <c:dLbl>
              <c:idx val="11"/>
              <c:layout>
                <c:manualLayout>
                  <c:x val="-1.30761161550984E-016"/>
                  <c:y val="-0.0256684463156684"/>
                </c:manualLayout>
              </c:layout>
              <c:numFmt formatCode="#,##0" sourceLinked="0"/>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dLbl>
            <c:txPr>
              <a:bodyPr wrap="square"/>
              <a:lstStyle/>
              <a:p>
                <a:pPr>
                  <a:defRPr b="0" lang="sk-SK" sz="1000" spc="-1" strike="noStrike">
                    <a:solidFill>
                      <a:srgbClr val="000000"/>
                    </a:solidFill>
                    <a:latin typeface="Arial Narrow"/>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21"/>
                <c:pt idx="0">
                  <c:v>nízkoprahové denné centrum</c:v>
                </c:pt>
                <c:pt idx="1">
                  <c:v>nízkoprah. s.služba pre deti a rodinu</c:v>
                </c:pt>
                <c:pt idx="2">
                  <c:v>prepravná služba*</c:v>
                </c:pt>
                <c:pt idx="3">
                  <c:v>tlmočnícka služba</c:v>
                </c:pt>
                <c:pt idx="4">
                  <c:v>sprostredkovanie osobnej asistencie</c:v>
                </c:pt>
                <c:pt idx="5">
                  <c:v>požičiavanie pomôcok</c:v>
                </c:pt>
                <c:pt idx="6">
                  <c:v>krízová pomoc prostredníctvom IKT</c:v>
                </c:pt>
                <c:pt idx="7">
                  <c:v>denné centrum</c:v>
                </c:pt>
                <c:pt idx="8">
                  <c:v>jedáleň</c:v>
                </c:pt>
                <c:pt idx="9">
                  <c:v>práčovňa</c:v>
                </c:pt>
                <c:pt idx="10">
                  <c:v>stredisko osobnej hygieny</c:v>
                </c:pt>
                <c:pt idx="11">
                  <c:v>komunitné centrum</c:v>
                </c:pt>
                <c:pt idx="12">
                  <c:v>podpora samostatného bývania</c:v>
                </c:pt>
                <c:pt idx="13">
                  <c:v>služba včasnej intervencie</c:v>
                </c:pt>
                <c:pt idx="14">
                  <c:v>terénna služba krízovej intervencie</c:v>
                </c:pt>
                <c:pt idx="15">
                  <c:v/>
                </c:pt>
                <c:pt idx="16">
                  <c:v/>
                </c:pt>
                <c:pt idx="17">
                  <c:v/>
                </c:pt>
                <c:pt idx="18">
                  <c:v>základné sociálne poradenstvo</c:v>
                </c:pt>
                <c:pt idx="19">
                  <c:v>špecializované soc. poradenstvo</c:v>
                </c:pt>
                <c:pt idx="20">
                  <c:v>sociálna rehabilitácia</c:v>
                </c:pt>
              </c:strCache>
            </c:strRef>
          </c:cat>
          <c:val>
            <c:numRef>
              <c:f>1</c:f>
              <c:numCache>
                <c:formatCode>General</c:formatCode>
                <c:ptCount val="21"/>
                <c:pt idx="0">
                  <c:v>3177</c:v>
                </c:pt>
                <c:pt idx="1">
                  <c:v>7377</c:v>
                </c:pt>
                <c:pt idx="2">
                  <c:v>7345</c:v>
                </c:pt>
                <c:pt idx="3">
                  <c:v>660</c:v>
                </c:pt>
                <c:pt idx="4">
                  <c:v>327</c:v>
                </c:pt>
                <c:pt idx="5">
                  <c:v>1872</c:v>
                </c:pt>
                <c:pt idx="6">
                  <c:v>7152</c:v>
                </c:pt>
                <c:pt idx="7">
                  <c:v>9</c:v>
                </c:pt>
                <c:pt idx="8">
                  <c:v>2107</c:v>
                </c:pt>
                <c:pt idx="9">
                  <c:v>317</c:v>
                </c:pt>
                <c:pt idx="10">
                  <c:v>1374</c:v>
                </c:pt>
                <c:pt idx="11">
                  <c:v>24031</c:v>
                </c:pt>
                <c:pt idx="12">
                  <c:v>36</c:v>
                </c:pt>
                <c:pt idx="13">
                  <c:v>1301</c:v>
                </c:pt>
                <c:pt idx="14">
                  <c:v>9424</c:v>
                </c:pt>
                <c:pt idx="15">
                  <c:v>1918</c:v>
                </c:pt>
                <c:pt idx="16">
                  <c:v>18326</c:v>
                </c:pt>
                <c:pt idx="17">
                  <c:v>23203</c:v>
                </c:pt>
                <c:pt idx="18">
                  <c:v>779</c:v>
                </c:pt>
              </c:numCache>
            </c:numRef>
          </c:val>
        </c:ser>
        <c:gapWidth val="100"/>
        <c:overlap val="0"/>
        <c:axId val="28824953"/>
        <c:axId val="66319199"/>
      </c:barChart>
      <c:catAx>
        <c:axId val="2882495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lang="sk-SK" sz="1000" spc="-1" strike="noStrike">
                <a:solidFill>
                  <a:srgbClr val="000000"/>
                </a:solidFill>
                <a:latin typeface="Arial Narrow"/>
              </a:defRPr>
            </a:pPr>
          </a:p>
        </c:txPr>
        <c:crossAx val="66319199"/>
        <c:crosses val="autoZero"/>
        <c:auto val="1"/>
        <c:lblAlgn val="ctr"/>
        <c:lblOffset val="100"/>
        <c:noMultiLvlLbl val="0"/>
      </c:catAx>
      <c:valAx>
        <c:axId val="66319199"/>
        <c:scaling>
          <c:orientation val="minMax"/>
          <c:max val="45000"/>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rot="-3300000"/>
          <a:lstStyle/>
          <a:p>
            <a:pPr>
              <a:defRPr b="0" lang="sk-SK" sz="1000" spc="-1" strike="noStrike">
                <a:solidFill>
                  <a:srgbClr val="000000"/>
                </a:solidFill>
                <a:latin typeface="Arial Narrow"/>
              </a:defRPr>
            </a:pPr>
          </a:p>
        </c:txPr>
        <c:crossAx val="28824953"/>
        <c:crosses val="autoZero"/>
        <c:crossBetween val="between"/>
        <c:majorUnit val="5000"/>
      </c:valAx>
      <c:spPr>
        <a:noFill/>
        <a:ln w="0">
          <a:noFill/>
        </a:ln>
      </c:spPr>
    </c:plotArea>
    <c:legend>
      <c:legendPos val="b"/>
      <c:overlay val="0"/>
      <c:spPr>
        <a:noFill/>
        <a:ln w="0">
          <a:noFill/>
        </a:ln>
      </c:spPr>
      <c:txPr>
        <a:bodyPr/>
        <a:lstStyle/>
        <a:p>
          <a:pPr>
            <a:defRPr b="0" lang="sk-SK" sz="1000" spc="-1" strike="noStrike">
              <a:solidFill>
                <a:srgbClr val="000000"/>
              </a:solidFill>
              <a:latin typeface="Arial Narrow"/>
            </a:defRPr>
          </a:pPr>
        </a:p>
      </c:txPr>
    </c:legend>
    <c:plotVisOnly val="1"/>
    <c:dispBlanksAs val="gap"/>
  </c:chart>
  <c:spPr>
    <a:solidFill>
      <a:srgbClr val="ffffff"/>
    </a:solidFill>
    <a:ln w="9360">
      <a:noFill/>
    </a:ln>
  </c:spPr>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LibreOffice/7.0.1.2$Linux_X86_64 LibreOffice_project/00$Build-2</Application>
  <Pages>13</Pages>
  <Words>2691</Words>
  <Characters>15959</Characters>
  <CharactersWithSpaces>18325</CharactersWithSpaces>
  <Paragraphs>400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2020-09-23T18:08:00Z</dcterms:created>
  <dc:creator>Martin Halás</dc:creator>
  <dc:description/>
  <dc:language>sk-SK</dc:language>
  <cp:lastModifiedBy>Judita Páleníková</cp:lastModifiedBy>
  <cp:lastPrinted>2020-09-22T08:25:00Z</cp:lastPrinted>
  <dcterms:modified xsi:type="dcterms:W3CDTF">2020-09-28T14:23:39Z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