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wmf" ContentType="image/x-wmf"/>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rFonts w:ascii="Times New Roman" w:hAnsi="Times New Roman" w:cs="Times New Roman"/>
          <w:b/>
          <w:b/>
          <w:bCs/>
          <w:sz w:val="32"/>
          <w:szCs w:val="32"/>
        </w:rPr>
      </w:pPr>
      <w:bookmarkStart w:id="0" w:name="_GoBack"/>
      <w:bookmarkEnd w:id="0"/>
      <w:r>
        <w:rPr>
          <w:rFonts w:cs="Times New Roman" w:ascii="Times New Roman" w:hAnsi="Times New Roman"/>
          <w:b/>
          <w:bCs/>
          <w:sz w:val="32"/>
          <w:szCs w:val="32"/>
        </w:rPr>
        <w:t>Charakteristika dlhodobého rastového modelu Slovenskej republiky</w:t>
      </w:r>
    </w:p>
    <w:p>
      <w:pPr>
        <w:pStyle w:val="Normal"/>
        <w:spacing w:lineRule="auto" w:line="360"/>
        <w:rPr>
          <w:rFonts w:ascii="Times New Roman" w:hAnsi="Times New Roman" w:cs="Times New Roman"/>
          <w:bCs/>
          <w:sz w:val="24"/>
          <w:szCs w:val="32"/>
        </w:rPr>
      </w:pPr>
      <w:r>
        <w:rPr>
          <w:rFonts w:cs="Times New Roman" w:ascii="Times New Roman" w:hAnsi="Times New Roman"/>
          <w:bCs/>
          <w:sz w:val="24"/>
          <w:szCs w:val="32"/>
        </w:rPr>
      </w:r>
    </w:p>
    <w:p>
      <w:pPr>
        <w:pStyle w:val="Heading2"/>
        <w:rPr>
          <w:rFonts w:ascii="Times New Roman" w:hAnsi="Times New Roman" w:cs="Times New Roman"/>
          <w:b/>
          <w:b/>
          <w:bCs/>
          <w:sz w:val="28"/>
          <w:szCs w:val="32"/>
        </w:rPr>
      </w:pPr>
      <w:r>
        <w:rPr/>
        <w:t>Úvod</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Popisovaný model je dlhodobý model makroekonomického rastu Slovenskej republiky, ktorý bol vyvinutý na Ekonomickom ústave Slovenskej akadémie vied. Model bol vytvorený za účelom modelovania vývoja SR. Samotný model bol inšpirovaný rakúskym dlhodobým modelom rastu, ktorý bol skonštruovaný v Austrian Institiute of Economic Research (WIFO) a Institute for Advanced Studies (IHS) – popis rakúskeho modelu je možné nájsť v Baumgartner et al. </w:t>
      </w:r>
      <w:r>
        <w:fldChar w:fldCharType="begin"/>
      </w:r>
      <w:r>
        <w:rPr>
          <w:sz w:val="24"/>
          <w:szCs w:val="24"/>
          <w:rFonts w:cs="Times New Roman" w:ascii="Times New Roman" w:hAnsi="Times New Roman"/>
        </w:rPr>
        <w:instrText>ADDIN ZOTERO_ITEM CSL_CITATION {"citationID":"yXNpdzH7","properties":{"formattedCitation":"(2004)","plainCitation":"(2004)","noteIndex":0},"citationItems":[{"id":117,"uris":["http://zotero.org/users/local/rHlOQBrW/items/UIWRAH38"],"uri":["http://zotero.org/users/local/rHlOQBrW/items/UIWRAH38"],"itemData":{"id":117,"type":"article-journal","title":"A Long-run Macroeconomic Model of the Austrian Economy (A-LMM). Model Documentation and Simulations","source":"ResearchGate","abstract":"In this paper we develop a long run macroeconomic model for Austria to simulate the effects of aging on employment, output growth, and the solvency of the social security system. By disaggregating the population into six age cohorts and modelling sex specific participation rates for each cohort, we are able to account for the future demographic trends. Apart from a baseline scenario, we perform six alternative simulations that highlight the effects of aging from different perspectives. These include two population projections with high life expectancy and with low fertility, a dynamic activity rate scenario, two scenarios with a stable fiscal balance of social security and an alternative pension indexation, and a scenario with higher productivity growth. JEL classification: C6, E2, O4 Part, and the participants of two WIFO-IHS-LMM workshops hosted by the Institute of Advances Studies (IHS) in Vienna for helpful comments and suggestions. We are particularly indebted to Fritz Breuss and Robert Kunst for valuable discussions during the project. We are very grateful to Ursula Glauninger, Christine Kaufmann (both WIFO) and Alexander Schnabel (IHS) for excellent research assistance. The responsibility for all remaining errors remains entirely with us.","author":[{"family":"Baumgartner","given":"Josef"},{"family":"Hofer","given":"Helmut"},{"family":"Kaniovski","given":"Serguei"},{"family":"Schuh","given":"Ulrich"},{"family":"Url","given":"Thomas"}],"issued":{"date-parts":[["2004",8,19]]}},"suppress-author":true}],"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(2004)</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Rakúsky model rastu vychádza z neoklasickej teórie založenej na Kaldorových podmienkach a rovnako aj dlhodobý makroekonomický model rastu SR vychádza z tejto teórie. Kaldorove podmienky sú v modeli prezentované ako výsledok optimalizácie správania firiem a domácností, ktoré vystupujú ako dvaja samostatní súkromní agenti, pričom sa do modelu dostáva aj ďalší účastník v podobe vlády.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b/>
        <w:t xml:space="preserve">Makroekonomický model rastu SR, ktorého podrobná charakteristika je popísaná napr. v prácach Páleník et al. </w:t>
      </w:r>
      <w:r>
        <w:fldChar w:fldCharType="begin"/>
      </w:r>
      <w:r>
        <w:rPr>
          <w:sz w:val="24"/>
          <w:szCs w:val="24"/>
          <w:rFonts w:cs="Times New Roman" w:ascii="Times New Roman" w:hAnsi="Times New Roman"/>
        </w:rPr>
        <w:instrText>ADDIN ZOTERO_ITEM CSL_CITATION {"citationID":"N6vnM9SY","properties":{"formattedCitation":"(2015)","plainCitation":"(2015)","noteIndex":0},"citationItems":[{"id":120,"uris":["http://zotero.org/users/local/rHlOQBrW/items/B7L558QK"],"uri":["http://zotero.org/users/local/rHlOQBrW/items/B7L558QK"],"itemData":{"id":120,"type":"book","title":"Inkluzívny rast v stratégiiEurópa 2020: Naivita alebo genialita?","publisher":"Ekonomický ústav Slovenskej akadémie vied","publisher-place":"Bratislava","event-place":"Bratislava","ISBN":"978-80-7144-250-9","author":[{"family":"Viliam, Paleník et al.","given":""}],"issued":{"date-parts":[["2015"]]}},"suppress-author":true}],"schema":"https://github.com/citation-style-language/schema/raw/master/csl-citation.json"}</w:instrText>
      </w:r>
      <w:r>
        <w:rPr>
          <w:rFonts w:cs="Times New Roman" w:ascii="Times New Roman" w:hAnsi="Times New Roman"/>
          <w:sz w:val="24"/>
          <w:szCs w:val="24"/>
        </w:rPr>
      </w:r>
      <w:r>
        <w:rPr>
          <w:sz w:val="24"/>
          <w:szCs w:val="24"/>
          <w:rFonts w:cs="Times New Roman" w:ascii="Times New Roman" w:hAnsi="Times New Roman"/>
        </w:rPr>
        <w:fldChar w:fldCharType="separate"/>
      </w:r>
      <w:r>
        <w:rPr>
          <w:rFonts w:cs="Times New Roman" w:ascii="Times New Roman" w:hAnsi="Times New Roman"/>
          <w:sz w:val="24"/>
          <w:szCs w:val="24"/>
        </w:rPr>
      </w:r>
      <w:r>
        <w:rPr>
          <w:rFonts w:cs="Times New Roman" w:ascii="Times New Roman" w:hAnsi="Times New Roman"/>
          <w:sz w:val="24"/>
        </w:rPr>
        <w:t>(2015)</w:t>
      </w:r>
      <w:r>
        <w:rPr>
          <w:rFonts w:cs="Times New Roman" w:ascii="Times New Roman" w:hAnsi="Times New Roman"/>
          <w:sz w:val="24"/>
          <w:szCs w:val="24"/>
        </w:rPr>
      </w:r>
      <w:r>
        <w:rPr>
          <w:sz w:val="24"/>
          <w:szCs w:val="24"/>
          <w:rFonts w:cs="Times New Roman" w:ascii="Times New Roman" w:hAnsi="Times New Roman"/>
        </w:rPr>
        <w:fldChar w:fldCharType="end"/>
      </w:r>
      <w:r>
        <w:rPr>
          <w:rFonts w:cs="Times New Roman" w:ascii="Times New Roman" w:hAnsi="Times New Roman"/>
          <w:sz w:val="24"/>
          <w:szCs w:val="24"/>
        </w:rPr>
        <w:t>, je tvorený ôsmimi vzájomne prepojenými blokmi:</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správania firiem,</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správania spotrebiteľov,</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trhu práce,</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rozdelenia príjmov,</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verejného sektora,</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sociálneho systému,</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zahraničného obchodu, úspor a národného dôchodku,</w:t>
      </w:r>
    </w:p>
    <w:p>
      <w:pPr>
        <w:pStyle w:val="ListParagraph"/>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blok inkluzívneho trhu.</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Takto zostrojené bloky sú súhrnom matematických vzťahov popisujúcich celé hospodárstvo SR. Celkovo je model zložený z viac než 150 rovníc, ktoré sú tvorené endogénnymi premennými modelu, ktorých je viac než 150 a exogénnych premenných, ktorých je v modeli 110. V nasledujúcom texte ďalej priblížime a bližšie charakterizujeme tento východiskový model, pričom sa budeme opierať o vyššie popísanú blokovú štruktúru modelu a zároveň budeme abstrahovať od niektorých dezagregácií použitých v modeli. Dôraz bude kladený na popis všeobecných vzťahov modelu z dôvodu zachovania prehľadnosti textu pri danom rozsahu</w:t>
      </w:r>
      <w:r>
        <w:rPr>
          <w:rStyle w:val="FootnoteAnchor"/>
          <w:rFonts w:cs="Times New Roman" w:ascii="Times New Roman" w:hAnsi="Times New Roman"/>
          <w:sz w:val="24"/>
          <w:szCs w:val="24"/>
        </w:rPr>
        <w:footnoteReference w:id="2"/>
      </w:r>
      <w:r>
        <w:rPr>
          <w:rFonts w:cs="Times New Roman" w:ascii="Times New Roman" w:hAnsi="Times New Roman"/>
          <w:sz w:val="24"/>
          <w:szCs w:val="24"/>
        </w:rPr>
        <w:t>.</w:t>
      </w:r>
    </w:p>
    <w:p>
      <w:pPr>
        <w:pStyle w:val="Normal"/>
        <w:spacing w:lineRule="auto" w:line="360"/>
        <w:jc w:val="both"/>
        <w:rPr>
          <w:rFonts w:ascii="Times New Roman" w:hAnsi="Times New Roman" w:cs="Times New Roman"/>
          <w:b/>
          <w:b/>
          <w:bCs/>
          <w:sz w:val="28"/>
          <w:szCs w:val="28"/>
        </w:rPr>
      </w:pPr>
      <w:r>
        <w:rPr>
          <w:rFonts w:cs="Times New Roman" w:ascii="Times New Roman" w:hAnsi="Times New Roman"/>
          <w:b/>
          <w:bCs/>
          <w:sz w:val="28"/>
          <w:szCs w:val="28"/>
        </w:rPr>
      </w:r>
    </w:p>
    <w:p>
      <w:pPr>
        <w:pStyle w:val="Heading2"/>
        <w:rPr>
          <w:rFonts w:ascii="Times New Roman" w:hAnsi="Times New Roman" w:cs="Times New Roman"/>
          <w:b/>
          <w:b/>
          <w:bCs/>
          <w:sz w:val="28"/>
          <w:szCs w:val="28"/>
        </w:rPr>
      </w:pPr>
      <w:r>
        <w:rPr/>
        <w:t>Správanie firiem</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Modelovanie správania firiem zohráva v danom modeli veľmi dôležitú úlohu z dôvodu, že celé smerovanie dlhodobého rastu je ovplyvňované práve zo strany ponuky. Firmy sú producentom statkov, ako aj služieb a, naopak, spotrebiteľom vstupov v podobe práce a kapitálu. Model v jeho aktuálnej podobe využíva na modelovanie danej skutočnosti Cobb-Douglasovu produkčnú funkciu v logaritmickom tvare:</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val="en-US" w:eastAsia="cs-CZ"/>
        </w:rPr>
        <w:t xml:space="preserve">                        </w:t>
      </w:r>
      <w:r>
        <w:rPr/>
      </w:r>
      <m:oMath xmlns:m="http://schemas.openxmlformats.org/officeDocument/2006/math">
        <m:r>
          <w:rPr>
            <w:rFonts w:ascii="Cambria Math" w:hAnsi="Cambria Math"/>
          </w:rPr>
          <m:t xml:space="preserve">ln</m:t>
        </m:r>
        <m:d>
          <m:dPr>
            <m:begChr m:val="("/>
            <m:endChr m:val=")"/>
          </m:dPr>
          <m:e>
            <m:sSub>
              <m:e>
                <m:r>
                  <w:rPr>
                    <w:rFonts w:ascii="Cambria Math" w:hAnsi="Cambria Math"/>
                  </w:rPr>
                  <m:t xml:space="preserve">Y</m:t>
                </m:r>
              </m:e>
              <m:sub>
                <m:r>
                  <w:rPr>
                    <w:rFonts w:ascii="Cambria Math" w:hAnsi="Cambria Math"/>
                  </w:rPr>
                  <m:t xml:space="preserve">t</m:t>
                </m:r>
              </m:sub>
            </m:sSub>
          </m:e>
        </m:d>
        <m:r>
          <w:rPr>
            <w:rFonts w:ascii="Cambria Math" w:hAnsi="Cambria Math"/>
          </w:rPr>
          <m:t xml:space="preserve">=</m:t>
        </m:r>
        <m:r>
          <w:rPr>
            <w:rFonts w:ascii="Cambria Math" w:hAnsi="Cambria Math"/>
          </w:rPr>
          <m:t xml:space="preserve">CON</m:t>
        </m:r>
        <m:sSub>
          <m:e>
            <m:r>
              <w:rPr>
                <w:rFonts w:ascii="Cambria Math" w:hAnsi="Cambria Math"/>
              </w:rPr>
              <m:t xml:space="preserve">Y</m:t>
            </m:r>
          </m:e>
          <m:sub>
            <m:r>
              <w:rPr>
                <w:rFonts w:ascii="Cambria Math" w:hAnsi="Cambria Math"/>
              </w:rPr>
              <m:t xml:space="preserve">t</m:t>
            </m:r>
          </m:sub>
        </m:sSub>
        <m:r>
          <w:rPr>
            <w:rFonts w:ascii="Cambria Math" w:hAnsi="Cambria Math"/>
          </w:rPr>
          <m:t xml:space="preserve">+</m:t>
        </m:r>
        <m:r>
          <w:rPr>
            <w:rFonts w:ascii="Cambria Math" w:hAnsi="Cambria Math"/>
          </w:rPr>
          <m:t xml:space="preserve">TF</m:t>
        </m:r>
        <m:sSub>
          <m:e>
            <m:r>
              <w:rPr>
                <w:rFonts w:ascii="Cambria Math" w:hAnsi="Cambria Math"/>
              </w:rPr>
              <m:t xml:space="preserve">P</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α</m:t>
            </m:r>
          </m:e>
          <m:sub>
            <m:r>
              <w:rPr>
                <w:rFonts w:ascii="Cambria Math" w:hAnsi="Cambria Math"/>
              </w:rPr>
              <m:t xml:space="preserve">t</m:t>
            </m:r>
          </m:sub>
        </m:sSub>
        <m:r>
          <w:rPr>
            <w:rFonts w:ascii="Cambria Math" w:hAnsi="Cambria Math"/>
          </w:rPr>
          <m:t xml:space="preserve">⋅</m:t>
        </m:r>
        <m:r>
          <w:rPr>
            <w:rFonts w:ascii="Cambria Math" w:hAnsi="Cambria Math"/>
          </w:rPr>
          <m:t xml:space="preserve">ln</m:t>
        </m:r>
        <m:d>
          <m:dPr>
            <m:begChr m:val="("/>
            <m:endChr m:val=")"/>
          </m:dPr>
          <m:e>
            <m:sSub>
              <m:e>
                <m:r>
                  <w:rPr>
                    <w:rFonts w:ascii="Cambria Math" w:hAnsi="Cambria Math"/>
                  </w:rPr>
                  <m:t xml:space="preserve">K</m:t>
                </m:r>
              </m:e>
              <m:sub>
                <m:r>
                  <w:rPr>
                    <w:rFonts w:ascii="Cambria Math" w:hAnsi="Cambria Math"/>
                  </w:rPr>
                  <m:t xml:space="preserve">t</m:t>
                </m:r>
              </m:sub>
            </m:sSub>
          </m:e>
        </m:d>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α</m:t>
                </m:r>
              </m:e>
              <m:sub>
                <m:r>
                  <w:rPr>
                    <w:rFonts w:ascii="Cambria Math" w:hAnsi="Cambria Math"/>
                  </w:rPr>
                  <m:t xml:space="preserve">t</m:t>
                </m:r>
              </m:sub>
            </m:sSub>
          </m:e>
        </m:d>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L</m:t>
            </m:r>
            <m:sSub>
              <m:e>
                <m:r>
                  <w:rPr>
                    <w:rFonts w:ascii="Cambria Math" w:hAnsi="Cambria Math"/>
                  </w:rPr>
                  <m:t xml:space="preserve">D</m:t>
                </m:r>
              </m:e>
              <m:sub>
                <m:r>
                  <w:rPr>
                    <w:rFonts w:ascii="Cambria Math" w:hAnsi="Cambria Math"/>
                  </w:rPr>
                  <m:t xml:space="preserve">t</m:t>
                </m:r>
              </m:sub>
            </m:sSub>
          </m:e>
        </m:d>
      </m:oMath>
      <w:r>
        <w:rPr>
          <w:rFonts w:eastAsia="Times New Roman" w:cs="Times New Roman" w:ascii="Times New Roman" w:hAnsi="Times New Roman"/>
          <w:position w:val="-10"/>
          <w:sz w:val="24"/>
          <w:szCs w:val="24"/>
          <w:lang w:val="en-US" w:eastAsia="cs-CZ"/>
        </w:rPr>
        <w:tab/>
        <w:tab/>
        <w:tab/>
        <w:t>(1)</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Jednotlivé premenné v rovnici (1) sú</w:t>
      </w:r>
      <w:r>
        <w:rPr>
          <w:rStyle w:val="FootnoteAnchor"/>
          <w:rFonts w:eastAsia="Times New Roman" w:cs="Times New Roman" w:ascii="Times New Roman" w:hAnsi="Times New Roman"/>
          <w:sz w:val="24"/>
          <w:szCs w:val="24"/>
          <w:lang w:eastAsia="cs-CZ"/>
        </w:rPr>
        <w:footnoteReference w:id="3"/>
      </w:r>
      <w:r>
        <w:rPr>
          <w:rFonts w:eastAsia="Times New Roman" w:cs="Times New Roman" w:ascii="Times New Roman" w:hAnsi="Times New Roman"/>
          <w:position w:val="-10"/>
          <w:sz w:val="24"/>
          <w:szCs w:val="24"/>
          <w:lang w:eastAsia="cs-CZ"/>
        </w:rPr>
        <w:t>:</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Y</w:t>
      </w:r>
      <w:r>
        <w:rPr>
          <w:rFonts w:eastAsia="Times New Roman" w:cs="Times New Roman" w:ascii="Times New Roman" w:hAnsi="Times New Roman"/>
          <w:position w:val="-10"/>
          <w:sz w:val="24"/>
          <w:szCs w:val="24"/>
          <w:lang w:eastAsia="cs-CZ"/>
        </w:rPr>
        <w:t xml:space="preserve"> reprezentuje reálny hrubý domáci produkt,</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TFP</w:t>
      </w:r>
      <w:r>
        <w:rPr>
          <w:rFonts w:eastAsia="Times New Roman" w:cs="Times New Roman" w:ascii="Times New Roman" w:hAnsi="Times New Roman"/>
          <w:position w:val="-10"/>
          <w:sz w:val="24"/>
          <w:szCs w:val="24"/>
          <w:lang w:eastAsia="cs-CZ"/>
        </w:rPr>
        <w:t xml:space="preserve"> predstavuje celkovú produktivitu faktorov, ktorá nesie informáciu aj o vplyve vedecko-technického pokroku,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K</w:t>
      </w:r>
      <w:r>
        <w:rPr>
          <w:rFonts w:eastAsia="Times New Roman" w:cs="Times New Roman" w:ascii="Times New Roman" w:hAnsi="Times New Roman"/>
          <w:position w:val="-10"/>
          <w:sz w:val="24"/>
          <w:szCs w:val="24"/>
          <w:lang w:eastAsia="cs-CZ"/>
        </w:rPr>
        <w:t> zachytáva hodnotu reálneho produktu,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LD</w:t>
      </w:r>
      <w:r>
        <w:rPr>
          <w:rFonts w:eastAsia="Times New Roman" w:cs="Times New Roman" w:ascii="Times New Roman" w:hAnsi="Times New Roman"/>
          <w:position w:val="-10"/>
          <w:sz w:val="24"/>
          <w:szCs w:val="24"/>
          <w:lang w:eastAsia="cs-CZ"/>
        </w:rPr>
        <w:t xml:space="preserve"> celkový počet odpracovaných hodín v hospodárstve,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α</w:t>
      </w:r>
      <w:r>
        <w:rPr>
          <w:rFonts w:eastAsia="Times New Roman" w:cs="Times New Roman" w:ascii="Times New Roman" w:hAnsi="Times New Roman"/>
          <w:position w:val="-10"/>
          <w:sz w:val="24"/>
          <w:szCs w:val="24"/>
          <w:lang w:eastAsia="cs-CZ"/>
        </w:rPr>
        <w:t xml:space="preserve"> je elasticita (výstupu oproti zmene vstupu kapitálu),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CONY</w:t>
      </w:r>
      <w:r>
        <w:rPr>
          <w:rFonts w:eastAsia="Times New Roman" w:cs="Times New Roman" w:ascii="Times New Roman" w:hAnsi="Times New Roman"/>
          <w:position w:val="-10"/>
          <w:sz w:val="24"/>
          <w:szCs w:val="24"/>
          <w:lang w:eastAsia="cs-CZ"/>
        </w:rPr>
        <w:t xml:space="preserve"> je kalibračnou konštantou, ktorá je v modeli použitá z dôvodu zachytenia historických hodnôt reálneho HDP v danom vzťahu.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Rozdiel dlhodobého modelu rastu pre Slovensko a arkúskeho modelu v danej rovnici spočíval v tom, že </w:t>
      </w:r>
      <w:r>
        <w:rPr>
          <w:rFonts w:eastAsia="Times New Roman" w:cs="Times New Roman" w:ascii="Times New Roman" w:hAnsi="Times New Roman"/>
          <w:i/>
          <w:position w:val="-10"/>
          <w:sz w:val="24"/>
          <w:szCs w:val="24"/>
          <w:lang w:eastAsia="cs-CZ"/>
        </w:rPr>
        <w:t>TFP</w:t>
      </w:r>
      <w:r>
        <w:rPr>
          <w:rFonts w:eastAsia="Times New Roman" w:cs="Times New Roman" w:ascii="Times New Roman" w:hAnsi="Times New Roman"/>
          <w:position w:val="-10"/>
          <w:sz w:val="24"/>
          <w:szCs w:val="24"/>
          <w:lang w:eastAsia="cs-CZ"/>
        </w:rPr>
        <w:t xml:space="preserve"> vystupuje ako endogénna premenná, ktorá vychádza zo vzťahu:</w:t>
      </w:r>
    </w:p>
    <w:p>
      <w:pPr>
        <w:pStyle w:val="Normal"/>
        <w:spacing w:lineRule="auto" w:line="360"/>
        <w:ind w:left="2124" w:firstLine="708"/>
        <w:jc w:val="both"/>
        <w:rPr>
          <w:rFonts w:ascii="Times New Roman" w:hAnsi="Times New Roman" w:eastAsia="Times New Roman" w:cs="Times New Roman"/>
          <w:sz w:val="24"/>
          <w:szCs w:val="24"/>
          <w:lang w:eastAsia="cs-CZ"/>
        </w:rPr>
      </w:pPr>
      <w:r>
        <w:rPr/>
      </w:r>
      <m:oMath xmlns:m="http://schemas.openxmlformats.org/officeDocument/2006/math">
        <m:r>
          <w:rPr>
            <w:rFonts w:ascii="Cambria Math" w:hAnsi="Cambria Math"/>
          </w:rPr>
          <m:t xml:space="preserve">TF</m:t>
        </m:r>
        <m:sSub>
          <m:e>
            <m:r>
              <w:rPr>
                <w:rFonts w:ascii="Cambria Math" w:hAnsi="Cambria Math"/>
              </w:rPr>
              <m:t xml:space="preserve">P</m:t>
            </m:r>
          </m:e>
          <m:sub>
            <m:r>
              <w:rPr>
                <w:rFonts w:ascii="Cambria Math" w:hAnsi="Cambria Math"/>
              </w:rPr>
              <m:t xml:space="preserve">t</m:t>
            </m:r>
          </m:sub>
        </m:sSub>
        <m:r>
          <w:rPr>
            <w:rFonts w:ascii="Cambria Math" w:hAnsi="Cambria Math"/>
          </w:rPr>
          <m:t xml:space="preserve">=</m:t>
        </m:r>
        <m:r>
          <w:rPr>
            <w:rFonts w:ascii="Cambria Math" w:hAnsi="Cambria Math"/>
          </w:rPr>
          <m:t xml:space="preserve">TFPTREN</m:t>
        </m:r>
        <m:sSub>
          <m:e>
            <m:r>
              <w:rPr>
                <w:rFonts w:ascii="Cambria Math" w:hAnsi="Cambria Math"/>
              </w:rPr>
              <m:t xml:space="preserve">D</m:t>
            </m:r>
          </m:e>
          <m:sub>
            <m:r>
              <w:rPr>
                <w:rFonts w:ascii="Cambria Math" w:hAnsi="Cambria Math"/>
              </w:rPr>
              <m:t xml:space="preserve">t</m:t>
            </m:r>
          </m:sub>
        </m:sSub>
        <m:r>
          <w:rPr>
            <w:rFonts w:ascii="Cambria Math" w:hAnsi="Cambria Math"/>
          </w:rPr>
          <m:t xml:space="preserve">+</m:t>
        </m:r>
        <m:r>
          <w:rPr>
            <w:rFonts w:ascii="Cambria Math" w:hAnsi="Cambria Math"/>
          </w:rPr>
          <m:t xml:space="preserve">τ</m:t>
        </m:r>
        <m:r>
          <w:rPr>
            <w:rFonts w:ascii="Cambria Math" w:hAnsi="Cambria Math"/>
          </w:rPr>
          <m:t xml:space="preserve">⋅</m:t>
        </m:r>
        <m:r>
          <w:rPr>
            <w:rFonts w:ascii="Cambria Math" w:hAnsi="Cambria Math"/>
          </w:rPr>
          <m:t xml:space="preserve">ln</m:t>
        </m:r>
        <m:d>
          <m:dPr>
            <m:begChr m:val="("/>
            <m:endChr m:val=")"/>
          </m:dPr>
          <m:e>
            <m:r>
              <w:rPr>
                <w:rFonts w:ascii="Cambria Math" w:hAnsi="Cambria Math"/>
              </w:rPr>
              <m:t xml:space="preserve">LQ</m:t>
            </m:r>
            <m:sSub>
              <m:e>
                <m:r>
                  <w:rPr>
                    <w:rFonts w:ascii="Cambria Math" w:hAnsi="Cambria Math"/>
                  </w:rPr>
                  <m:t xml:space="preserve">I</m:t>
                </m:r>
              </m:e>
              <m:sub>
                <m:r>
                  <w:rPr>
                    <w:rFonts w:ascii="Cambria Math" w:hAnsi="Cambria Math"/>
                  </w:rPr>
                  <m:t xml:space="preserve">t</m:t>
                </m:r>
              </m:sub>
            </m:sSub>
          </m:e>
        </m:d>
      </m:oMath>
      <w:r>
        <w:rPr>
          <w:rFonts w:eastAsia="Times New Roman" w:cs="Times New Roman" w:ascii="Times New Roman" w:hAnsi="Times New Roman"/>
          <w:position w:val="-12"/>
          <w:sz w:val="24"/>
          <w:szCs w:val="24"/>
          <w:lang w:eastAsia="cs-CZ"/>
        </w:rPr>
        <w:tab/>
        <w:tab/>
        <w:tab/>
        <w:tab/>
        <w:t>(2)</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2"/>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2"/>
          <w:sz w:val="24"/>
          <w:szCs w:val="24"/>
          <w:lang w:eastAsia="cs-CZ"/>
        </w:rPr>
        <w:t>LQI</w:t>
      </w:r>
      <w:r>
        <w:rPr>
          <w:rFonts w:eastAsia="Times New Roman" w:cs="Times New Roman" w:ascii="Times New Roman" w:hAnsi="Times New Roman"/>
          <w:position w:val="-12"/>
          <w:sz w:val="24"/>
          <w:szCs w:val="24"/>
          <w:lang w:eastAsia="cs-CZ"/>
        </w:rPr>
        <w:t xml:space="preserve"> predstavuje index kvality ľudského kapitálu,</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i/>
          <w:position w:val="-12"/>
          <w:sz w:val="24"/>
          <w:szCs w:val="24"/>
          <w:lang w:eastAsia="cs-CZ"/>
        </w:rPr>
        <w:t>TFPTREND</w:t>
      </w:r>
      <w:r>
        <w:rPr>
          <w:rFonts w:eastAsia="Times New Roman" w:cs="Times New Roman" w:ascii="Times New Roman" w:hAnsi="Times New Roman"/>
          <w:position w:val="-12"/>
          <w:sz w:val="24"/>
          <w:szCs w:val="24"/>
          <w:lang w:eastAsia="cs-CZ"/>
        </w:rPr>
        <w:t xml:space="preserve"> je trendová zložka.</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2"/>
          <w:sz w:val="24"/>
          <w:szCs w:val="24"/>
          <w:lang w:val="en-US" w:eastAsia="cs-CZ"/>
        </w:rPr>
        <w:t xml:space="preserve">Model </w:t>
      </w:r>
      <w:r>
        <w:rPr>
          <w:rFonts w:eastAsia="Times New Roman" w:cs="Times New Roman" w:ascii="Times New Roman" w:hAnsi="Times New Roman"/>
          <w:position w:val="-12"/>
          <w:sz w:val="24"/>
          <w:szCs w:val="24"/>
          <w:lang w:eastAsia="cs-CZ"/>
        </w:rPr>
        <w:t>využíva modifikovanú investičnú funkciu, ktorá rovnako vychádza z neoklasickej  teórie, pričom jej podstata spočíva v tom, že časť hrubých investícií vstupuje do kapitálu a zvyšuje jeho stav. Táto upravená investičná funkcia má nasledujúci tvar:</w:t>
      </w:r>
    </w:p>
    <w:p>
      <w:pPr>
        <w:pStyle w:val="Normal"/>
        <w:spacing w:lineRule="auto" w:line="360"/>
        <w:ind w:left="2832" w:firstLine="708"/>
        <w:jc w:val="both"/>
        <w:rPr>
          <w:rFonts w:ascii="Times New Roman" w:hAnsi="Times New Roman" w:eastAsia="Times New Roman" w:cs="Times New Roman"/>
          <w:sz w:val="24"/>
          <w:szCs w:val="24"/>
          <w:lang w:val="en-US" w:eastAsia="cs-CZ"/>
        </w:rPr>
      </w:pPr>
      <w:r>
        <w:rPr/>
      </w:r>
      <m:oMath xmlns:m="http://schemas.openxmlformats.org/officeDocument/2006/math">
        <m:f>
          <m:num>
            <m:sSub>
              <m:e>
                <m:r>
                  <w:rPr>
                    <w:rFonts w:ascii="Cambria Math" w:hAnsi="Cambria Math"/>
                  </w:rPr>
                  <m:t xml:space="preserve">I</m:t>
                </m:r>
              </m:e>
              <m:sub>
                <m:r>
                  <w:rPr>
                    <w:rFonts w:ascii="Cambria Math" w:hAnsi="Cambria Math"/>
                  </w:rPr>
                  <m:t xml:space="preserve">t</m:t>
                </m:r>
              </m:sub>
            </m:sSub>
          </m:num>
          <m:den>
            <m:sSub>
              <m:e>
                <m:r>
                  <w:rPr>
                    <w:rFonts w:ascii="Cambria Math" w:hAnsi="Cambria Math"/>
                  </w:rPr>
                  <m:t xml:space="preserve">K</m:t>
                </m:r>
              </m:e>
              <m:sub>
                <m:r>
                  <w:rPr>
                    <w:rFonts w:ascii="Cambria Math" w:hAnsi="Cambria Math"/>
                  </w:rPr>
                  <m:t xml:space="preserve">t</m:t>
                </m:r>
                <m:r>
                  <w:rPr>
                    <w:rFonts w:ascii="Cambria Math" w:hAnsi="Cambria Math"/>
                  </w:rPr>
                  <m:t xml:space="preserve">−</m:t>
                </m:r>
                <m:r>
                  <w:rPr>
                    <w:rFonts w:ascii="Cambria Math" w:hAnsi="Cambria Math"/>
                  </w:rPr>
                  <m:t xml:space="preserve">1</m:t>
                </m:r>
              </m:sub>
            </m:sSub>
          </m:den>
        </m:f>
        <m:r>
          <w:rPr>
            <w:rFonts w:ascii="Cambria Math" w:hAnsi="Cambria Math"/>
          </w:rPr>
          <m:t xml:space="preserve">=</m:t>
        </m:r>
        <m:f>
          <m:num>
            <m:r>
              <w:rPr>
                <w:rFonts w:ascii="Cambria Math" w:hAnsi="Cambria Math"/>
              </w:rPr>
              <m:t xml:space="preserve">1</m:t>
            </m:r>
          </m:num>
          <m:den>
            <m:r>
              <w:rPr>
                <w:rFonts w:ascii="Cambria Math" w:hAnsi="Cambria Math"/>
              </w:rPr>
              <m:t xml:space="preserve">PHI</m:t>
            </m:r>
          </m:den>
        </m:f>
        <m:d>
          <m:dPr>
            <m:begChr m:val="("/>
            <m:endChr m:val=")"/>
          </m:dPr>
          <m:e>
            <m:f>
              <m:num>
                <m:sSub>
                  <m:e>
                    <m:r>
                      <w:rPr>
                        <w:rFonts w:ascii="Cambria Math" w:hAnsi="Cambria Math"/>
                      </w:rPr>
                      <m:t xml:space="preserve">Q</m:t>
                    </m:r>
                  </m:e>
                  <m:sub>
                    <m:r>
                      <w:rPr>
                        <w:rFonts w:ascii="Cambria Math" w:hAnsi="Cambria Math"/>
                      </w:rPr>
                      <m:t xml:space="preserve">t</m:t>
                    </m:r>
                  </m:sub>
                </m:sSub>
                <m:sSub>
                  <m:e>
                    <m:r>
                      <w:rPr>
                        <w:rFonts w:ascii="Cambria Math" w:hAnsi="Cambria Math"/>
                      </w:rPr>
                      <m:t xml:space="preserve">P</m:t>
                    </m:r>
                  </m:e>
                  <m:sub>
                    <m:r>
                      <w:rPr>
                        <w:rFonts w:ascii="Cambria Math" w:hAnsi="Cambria Math"/>
                      </w:rPr>
                      <m:t xml:space="preserve">t</m:t>
                    </m:r>
                  </m:sub>
                </m:sSub>
              </m:num>
              <m:den>
                <m:r>
                  <w:rPr>
                    <w:rFonts w:ascii="Cambria Math" w:hAnsi="Cambria Math"/>
                  </w:rPr>
                  <m:t xml:space="preserve">P</m:t>
                </m:r>
                <m:sSub>
                  <m:e>
                    <m:r>
                      <w:rPr>
                        <w:rFonts w:ascii="Cambria Math" w:hAnsi="Cambria Math"/>
                      </w:rPr>
                      <m:t xml:space="preserve">I</m:t>
                    </m:r>
                  </m:e>
                  <m:sub>
                    <m:r>
                      <w:rPr>
                        <w:rFonts w:ascii="Cambria Math" w:hAnsi="Cambria Math"/>
                      </w:rPr>
                      <m:t xml:space="preserve">t</m:t>
                    </m:r>
                  </m:sub>
                </m:sSub>
              </m:den>
            </m:f>
            <m:r>
              <w:rPr>
                <w:rFonts w:ascii="Cambria Math" w:hAnsi="Cambria Math"/>
              </w:rPr>
              <m:t xml:space="preserve">−</m:t>
            </m:r>
            <m:r>
              <w:rPr>
                <w:rFonts w:ascii="Cambria Math" w:hAnsi="Cambria Math"/>
              </w:rPr>
              <m:t xml:space="preserve">1</m:t>
            </m:r>
          </m:e>
        </m:d>
      </m:oMath>
      <w:r>
        <w:rPr>
          <w:rFonts w:eastAsia="Times New Roman" w:cs="Times New Roman" w:ascii="Times New Roman" w:hAnsi="Times New Roman"/>
          <w:position w:val="-12"/>
          <w:sz w:val="24"/>
          <w:szCs w:val="24"/>
          <w:lang w:val="en-US" w:eastAsia="cs-CZ"/>
        </w:rPr>
        <w:tab/>
        <w:tab/>
        <w:tab/>
        <w:tab/>
        <w:t>(3)</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kde:</w:t>
      </w:r>
    </w:p>
    <w:p>
      <w:pPr>
        <w:pStyle w:val="Normal"/>
        <w:spacing w:lineRule="auto" w:line="36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I</m:t>
            </m:r>
          </m:e>
          <m:sub/>
        </m:sSub>
      </m:oMath>
      <w:r>
        <w:rPr>
          <w:rFonts w:cs="Times New Roman" w:ascii="Times New Roman" w:hAnsi="Times New Roman"/>
          <w:sz w:val="24"/>
          <w:szCs w:val="24"/>
        </w:rPr>
        <w:t xml:space="preserve"> </w:t>
      </w:r>
      <w:r>
        <w:rPr>
          <w:rFonts w:cs="Times New Roman" w:ascii="Times New Roman" w:hAnsi="Times New Roman"/>
          <w:sz w:val="24"/>
          <w:szCs w:val="24"/>
        </w:rPr>
        <w:t>sú investície,</w:t>
      </w:r>
    </w:p>
    <w:p>
      <w:pPr>
        <w:pStyle w:val="Normal"/>
        <w:spacing w:lineRule="auto" w:line="36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K</m:t>
            </m:r>
          </m:e>
          <m:sub/>
        </m:sSub>
      </m:oMath>
      <w:r>
        <w:rPr>
          <w:rFonts w:cs="Times New Roman" w:ascii="Times New Roman" w:hAnsi="Times New Roman"/>
          <w:sz w:val="24"/>
          <w:szCs w:val="24"/>
        </w:rPr>
        <w:t xml:space="preserve"> </w:t>
      </w:r>
      <w:r>
        <w:rPr>
          <w:rFonts w:cs="Times New Roman" w:ascii="Times New Roman" w:hAnsi="Times New Roman"/>
          <w:sz w:val="24"/>
          <w:szCs w:val="24"/>
        </w:rPr>
        <w:t>predstavuje kapitál,</w:t>
      </w:r>
    </w:p>
    <w:p>
      <w:pPr>
        <w:pStyle w:val="Normal"/>
        <w:spacing w:lineRule="auto" w:line="36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Q</m:t>
            </m:r>
          </m:e>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je odhad Tobinovho </w:t>
      </w:r>
      <w:r>
        <w:rPr/>
      </w:r>
      <m:oMath xmlns:m="http://schemas.openxmlformats.org/officeDocument/2006/math">
        <m:r>
          <w:rPr>
            <w:rFonts w:ascii="Cambria Math" w:hAnsi="Cambria Math"/>
          </w:rPr>
          <m:t xml:space="preserve">Q</m:t>
        </m:r>
      </m:oMath>
      <w:r>
        <w:rPr>
          <w:rStyle w:val="FootnoteAnchor"/>
          <w:rFonts w:eastAsia="" w:cs="Times New Roman" w:ascii="Times New Roman" w:hAnsi="Times New Roman" w:eastAsiaTheme="minorEastAsia"/>
          <w:sz w:val="24"/>
          <w:szCs w:val="24"/>
        </w:rPr>
        <w:footnoteReference w:id="4"/>
      </w:r>
      <w:r>
        <w:rPr/>
      </w:r>
      <m:oMath xmlns:m="http://schemas.openxmlformats.org/officeDocument/2006/math"/>
      <w:r>
        <w:rPr>
          <w:rFonts w:eastAsia="" w:cs="Times New Roman" w:ascii="Times New Roman" w:hAnsi="Times New Roman" w:eastAsiaTheme="minorEastAsia"/>
          <w:sz w:val="24"/>
          <w:szCs w:val="24"/>
        </w:rPr>
        <w:t>v stálych cenách roku 2010,</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PHI</w:t>
      </w:r>
      <w:r>
        <w:rPr>
          <w:rFonts w:cs="Times New Roman" w:ascii="Times New Roman" w:hAnsi="Times New Roman"/>
          <w:sz w:val="24"/>
          <w:szCs w:val="24"/>
        </w:rPr>
        <w:t xml:space="preserve"> je kalibračná konštanta,</w:t>
      </w:r>
    </w:p>
    <w:p>
      <w:pPr>
        <w:pStyle w:val="Normal"/>
        <w:spacing w:lineRule="auto" w:line="360"/>
        <w:jc w:val="both"/>
        <w:rPr>
          <w:rFonts w:ascii="Times New Roman" w:hAnsi="Times New Roman" w:cs="Times New Roman"/>
          <w:sz w:val="24"/>
          <w:szCs w:val="24"/>
        </w:rPr>
      </w:pPr>
      <w:r>
        <w:rPr/>
      </w:r>
      <m:oMath xmlns:m="http://schemas.openxmlformats.org/officeDocument/2006/math">
        <m:sSub>
          <m:e>
            <m:r>
              <w:rPr>
                <w:rFonts w:ascii="Cambria Math" w:hAnsi="Cambria Math"/>
              </w:rPr>
              <m:t xml:space="preserve">P</m:t>
            </m:r>
          </m:e>
          <m:sub/>
        </m:sSub>
      </m:oMath>
      <w:r>
        <w:rPr>
          <w:rFonts w:cs="Times New Roman" w:ascii="Times New Roman" w:hAnsi="Times New Roman"/>
          <w:sz w:val="24"/>
          <w:szCs w:val="24"/>
        </w:rPr>
        <w:t xml:space="preserve"> </w:t>
      </w:r>
      <w:r>
        <w:rPr>
          <w:rFonts w:cs="Times New Roman" w:ascii="Times New Roman" w:hAnsi="Times New Roman"/>
          <w:sz w:val="24"/>
          <w:szCs w:val="24"/>
        </w:rPr>
        <w:t xml:space="preserve">reprezentuje časový rad deflátora HDP a </w:t>
      </w:r>
      <w:r>
        <w:rPr/>
      </w:r>
      <m:oMath xmlns:m="http://schemas.openxmlformats.org/officeDocument/2006/math">
        <m:r>
          <w:rPr>
            <w:rFonts w:ascii="Cambria Math" w:hAnsi="Cambria Math"/>
          </w:rPr>
          <m:t xml:space="preserve">P</m:t>
        </m:r>
        <m:sSub>
          <m:e>
            <m:r>
              <w:rPr>
                <w:rFonts w:ascii="Cambria Math" w:hAnsi="Cambria Math"/>
              </w:rPr>
              <m:t xml:space="preserve">I</m:t>
            </m:r>
          </m:e>
          <m:sub/>
        </m:sSub>
      </m:oMath>
      <w:r>
        <w:rPr>
          <w:rFonts w:cs="Times New Roman" w:ascii="Times New Roman" w:hAnsi="Times New Roman"/>
          <w:sz w:val="24"/>
          <w:szCs w:val="24"/>
        </w:rPr>
        <w:t xml:space="preserve"> je deflátor investícií.</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Celková produkcia hospodárstva je v modeli vyjadrená prostredníctvom vzťahu:</w:t>
      </w:r>
    </w:p>
    <w:p>
      <w:pPr>
        <w:pStyle w:val="Normal"/>
        <w:spacing w:lineRule="auto" w:line="360"/>
        <w:ind w:left="2832" w:firstLine="708"/>
        <w:jc w:val="both"/>
        <w:rPr>
          <w:rFonts w:ascii="Times New Roman" w:hAnsi="Times New Roman" w:eastAsia="Times New Roman" w:cs="Times New Roman"/>
          <w:sz w:val="24"/>
          <w:szCs w:val="24"/>
          <w:lang w:val="en-US" w:eastAsia="cs-CZ"/>
        </w:rPr>
      </w:pPr>
      <w:r>
        <w:rPr/>
      </w:r>
      <m:oMath xmlns:m="http://schemas.openxmlformats.org/officeDocument/2006/math">
        <m:sSub>
          <m:e>
            <m:r>
              <w:rPr>
                <w:rFonts w:ascii="Cambria Math" w:hAnsi="Cambria Math"/>
              </w:rPr>
              <m:t xml:space="preserve">TY</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Y</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CONYIM</m:t>
            </m:r>
          </m:e>
          <m:sub>
            <m:r>
              <w:rPr>
                <w:rFonts w:ascii="Cambria Math" w:hAnsi="Cambria Math"/>
              </w:rPr>
              <m:t xml:space="preserve">t</m:t>
            </m:r>
          </m:sub>
        </m:sSub>
        <m:sSub>
          <m:e>
            <m:r>
              <w:rPr>
                <w:rFonts w:ascii="Cambria Math" w:hAnsi="Cambria Math"/>
              </w:rPr>
              <m:t xml:space="preserve">YIM</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(4)</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kde:</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TY</w:t>
      </w:r>
      <w:r>
        <w:rPr>
          <w:rFonts w:cs="Times New Roman" w:ascii="Times New Roman" w:hAnsi="Times New Roman"/>
          <w:sz w:val="24"/>
          <w:szCs w:val="24"/>
        </w:rPr>
        <w:t xml:space="preserve"> predstavuje celkový hrubý domáci produkt SR v stálych cenách roku 2010,</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CONYIM</w:t>
      </w:r>
      <w:r>
        <w:rPr>
          <w:rFonts w:cs="Times New Roman" w:ascii="Times New Roman" w:hAnsi="Times New Roman"/>
          <w:sz w:val="24"/>
          <w:szCs w:val="24"/>
        </w:rPr>
        <w:t xml:space="preserve"> je exogénna premenná reprezentujúca penalizáciu HDP,</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YIM</w:t>
      </w:r>
      <w:r>
        <w:rPr>
          <w:rFonts w:cs="Times New Roman" w:ascii="Times New Roman" w:hAnsi="Times New Roman"/>
          <w:sz w:val="24"/>
          <w:szCs w:val="24"/>
        </w:rPr>
        <w:t xml:space="preserve"> predstavuje HDP vyprodukovaný v stálych cenách.</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Heading2"/>
        <w:rPr>
          <w:rFonts w:ascii="Times New Roman" w:hAnsi="Times New Roman" w:cs="Times New Roman"/>
          <w:b/>
          <w:b/>
          <w:bCs/>
          <w:sz w:val="28"/>
          <w:szCs w:val="28"/>
        </w:rPr>
      </w:pPr>
      <w:r>
        <w:rPr/>
        <w:t>Správanie spotrebiteľov</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Spotrebitelia sú v modeli reprezentovaní domácnosťami, ktorých spotreba je vo východiskovom modeli a rovnako aj v rakúskom modeli podľa Baumgartner et al. (2004) ovplyvnená dvomi zložkami bohatstva, a to od diskontovaného očakávaného budúceho disponibilného príjmu a finančného bohatstva; a rovnako aj od aktuálneho disponibilného príjmu. Takto chápané správanie spotrebiteľov je založené na modeli prekrývajúcich sa generácií v spojitom čase navrhnutom Blanchardom a Fisherom </w:t>
      </w:r>
      <w:r>
        <w:fldChar w:fldCharType="begin"/>
      </w:r>
      <w:r>
        <w:rPr>
          <w:position w:val="-10"/>
          <w:sz w:val="24"/>
          <w:szCs w:val="24"/>
          <w:rFonts w:eastAsia="Times New Roman" w:cs="Times New Roman" w:ascii="Times New Roman" w:hAnsi="Times New Roman"/>
          <w:lang w:eastAsia="cs-CZ"/>
        </w:rPr>
        <w:instrText>ADDIN ZOTERO_ITEM CSL_CITATION {"citationID":"nfUdX4RE","properties":{"formattedCitation":"(1989)","plainCitation":"(1989)","noteIndex":0},"citationItems":[{"id":121,"uris":["http://zotero.org/users/local/rHlOQBrW/items/KIHT4US6"],"uri":["http://zotero.org/users/local/rHlOQBrW/items/KIHT4US6"],"itemData":{"id":121,"type":"report","title":"Lectures on Macroeconomics","publisher":"The MIT Press","genre":"MIT Press Books","source":"RePEc - Econpapers","abstract":"Lectures on Macroeconomics provides the first comprehensive description and evaluation of macroeconomic theory in many years. While the authors' perspective is broad, they clearly state their assessment of what is important and what is not as they present the essence of macroeconomic theory today. The main purpose of Lectures on Macroeconomics is to characterize and explain fluctuations in output, unemployment and movement in prices. The most important fact of modern economic history is persistent long term growth, but as the book makes clear, this growth is far from steady. The authors analyze and explore these fluctuations. Topics include consumption and investment; the Overlapping Generations Model; money; multiple equilibria, bubbles, and stability; the role of nominal rigidities; competitive equilibrium business cycles, nominal rigidities and economic fluctuations, goods, labor and credit markets; and monetary and fiscal policy issues. Each of chapters 2 through 9 discusses models appropriate to the topic. Chapter 10 then draws on the previous chapters, asks which models are the workhorses of macroeconomics, and sets the models out in convenient form. A concluding chapter analyzes the goals of economic policy, monetary policy, fiscal policy, and dynamic inconsistency. Written as a text for graduate students with some background in macroeconomics, statistics, and econometrics, Lectures on Macroeconomics also presents topics in a self contained way that makes it a suitable reference for professional economists.","URL":"https://econpapers.repec.org/bookchap/mtptitles/0262022834.htm","author":[{"family":"Blanchard","given":"Olivier"},{"family":"Fischer","given":"Stanley"}],"issued":{"date-parts":[["1989"]]},"accessed":{"date-parts":[["2020",1,21]]}},"suppress-author":true}],"schema":"https://github.com/citation-style-language/schema/raw/master/csl-citation.json"}</w:instrText>
      </w:r>
      <w:r>
        <w:rPr>
          <w:rFonts w:eastAsia="Times New Roman" w:cs="Times New Roman" w:ascii="Times New Roman" w:hAnsi="Times New Roman"/>
          <w:position w:val="-10"/>
          <w:sz w:val="24"/>
          <w:szCs w:val="24"/>
          <w:lang w:eastAsia="cs-CZ"/>
        </w:rPr>
      </w:r>
      <w:r>
        <w:rPr>
          <w:position w:val="-10"/>
          <w:sz w:val="24"/>
          <w:szCs w:val="24"/>
          <w:rFonts w:eastAsia="Times New Roman" w:cs="Times New Roman" w:ascii="Times New Roman" w:hAnsi="Times New Roman"/>
          <w:lang w:eastAsia="cs-CZ"/>
        </w:rPr>
        <w:fldChar w:fldCharType="separate"/>
      </w:r>
      <w:r>
        <w:rPr>
          <w:rFonts w:eastAsia="Times New Roman" w:cs="Times New Roman" w:ascii="Times New Roman" w:hAnsi="Times New Roman"/>
          <w:position w:val="-10"/>
          <w:sz w:val="24"/>
          <w:szCs w:val="24"/>
          <w:lang w:eastAsia="cs-CZ"/>
        </w:rPr>
      </w:r>
      <w:r>
        <w:rPr>
          <w:rFonts w:cs="Times New Roman" w:ascii="Times New Roman" w:hAnsi="Times New Roman"/>
          <w:sz w:val="24"/>
        </w:rPr>
        <w:t>(1989)</w:t>
      </w:r>
      <w:r>
        <w:rPr>
          <w:rFonts w:eastAsia="Times New Roman" w:cs="Times New Roman" w:ascii="Times New Roman" w:hAnsi="Times New Roman"/>
          <w:position w:val="-10"/>
          <w:sz w:val="24"/>
          <w:szCs w:val="24"/>
          <w:lang w:eastAsia="cs-CZ"/>
        </w:rPr>
      </w:r>
      <w:r>
        <w:rPr>
          <w:position w:val="-10"/>
          <w:sz w:val="24"/>
          <w:szCs w:val="24"/>
          <w:rFonts w:eastAsia="Times New Roman" w:cs="Times New Roman" w:ascii="Times New Roman" w:hAnsi="Times New Roman"/>
          <w:lang w:eastAsia="cs-CZ"/>
        </w:rPr>
        <w:fldChar w:fldCharType="end"/>
      </w:r>
      <w:r>
        <w:rPr>
          <w:rFonts w:eastAsia="Times New Roman" w:cs="Times New Roman" w:ascii="Times New Roman" w:hAnsi="Times New Roman"/>
          <w:position w:val="-10"/>
          <w:sz w:val="24"/>
          <w:szCs w:val="24"/>
          <w:lang w:eastAsia="cs-CZ"/>
        </w:rPr>
        <w:t>. Východiskový model uvažuje aj so zavedením daňového zaťaženia, ako aj s transfermi. Spotreba domácností je vyrovnávaná v čase, a to tým spôsobom, že v prípade, ak sú skutočné príjmy domácností nižšie ako očakávané, potom domácnosti akumulujú dlh, v prípade, že sú skutočné príjmy vyššie, potom domácnosti začnú šetriť. Model spotrebiteľov rozdeľuje na dve skupiny. Prvá skupina je tvorená spotrebiteľmi, ktorí sa správajú v súlade s optimálnou spotrebou. Druhá skupina spotrebiteľov je tvorená tými, ktorí spotrebujú svoj disponibilný príjem vychádzajúc na základe svojich skúseností. Samotný nominálny disponibilný príjem je v modeli počítaný nasledujúcim vzťahom:</w:t>
      </w:r>
    </w:p>
    <w:p>
      <w:pPr>
        <w:pStyle w:val="Normal"/>
        <w:spacing w:lineRule="auto" w:line="360"/>
        <w:ind w:left="2124" w:firstLine="708"/>
        <w:jc w:val="both"/>
        <w:rPr>
          <w:rFonts w:ascii="Times New Roman" w:hAnsi="Times New Roman" w:eastAsia="Times New Roman" w:cs="Times New Roman"/>
          <w:sz w:val="24"/>
          <w:szCs w:val="24"/>
        </w:rPr>
      </w:pPr>
      <w:r>
        <w:rPr/>
      </w:r>
      <m:oMath xmlns:m="http://schemas.openxmlformats.org/officeDocument/2006/math">
        <m:r>
          <w:rPr>
            <w:rFonts w:ascii="Cambria Math" w:hAnsi="Cambria Math"/>
          </w:rPr>
          <m:t xml:space="preserve">YD</m:t>
        </m:r>
        <m:sSub>
          <m:e>
            <m:r>
              <w:rPr>
                <w:rFonts w:ascii="Cambria Math" w:hAnsi="Cambria Math"/>
              </w:rPr>
              <m:t xml:space="preserve">N</m:t>
            </m:r>
          </m:e>
          <m:sub>
            <m:r>
              <w:rPr>
                <w:rFonts w:ascii="Cambria Math" w:hAnsi="Cambria Math"/>
              </w:rPr>
              <m:t xml:space="preserve">t</m:t>
            </m:r>
          </m:sub>
        </m:sSub>
        <m:r>
          <w:rPr>
            <w:rFonts w:ascii="Cambria Math" w:hAnsi="Cambria Math"/>
          </w:rPr>
          <m:t xml:space="preserve">=</m:t>
        </m:r>
        <m:r>
          <w:rPr>
            <w:rFonts w:ascii="Cambria Math" w:hAnsi="Cambria Math"/>
          </w:rPr>
          <m:t xml:space="preserve">HYNS</m:t>
        </m:r>
        <m:sSub>
          <m:e>
            <m:r>
              <w:rPr>
                <w:rFonts w:ascii="Cambria Math" w:hAnsi="Cambria Math"/>
              </w:rPr>
              <m:t xml:space="preserve">I</m:t>
            </m:r>
          </m:e>
          <m:sub>
            <m:r>
              <w:rPr>
                <w:rFonts w:ascii="Cambria Math" w:hAnsi="Cambria Math"/>
              </w:rPr>
              <m:t xml:space="preserve">t</m:t>
            </m:r>
          </m:sub>
        </m:sSub>
        <m:r>
          <w:rPr>
            <w:rFonts w:ascii="Cambria Math" w:hAnsi="Cambria Math"/>
          </w:rPr>
          <m:t xml:space="preserve">+</m:t>
        </m:r>
        <m:d>
          <m:dPr>
            <m:begChr m:val="("/>
            <m:endChr m:val=")"/>
          </m:dPr>
          <m:e>
            <m:r>
              <w:rPr>
                <w:rFonts w:ascii="Cambria Math" w:hAnsi="Cambria Math"/>
              </w:rPr>
              <m:t xml:space="preserve">HY</m:t>
            </m:r>
            <m:sSub>
              <m:e>
                <m:r>
                  <w:rPr>
                    <w:rFonts w:ascii="Cambria Math" w:hAnsi="Cambria Math"/>
                  </w:rPr>
                  <m:t xml:space="preserve">S</m:t>
                </m:r>
              </m:e>
              <m:sub>
                <m:r>
                  <w:rPr>
                    <w:rFonts w:ascii="Cambria Math" w:hAnsi="Cambria Math"/>
                  </w:rPr>
                  <m:t xml:space="preserve">t</m:t>
                </m:r>
              </m:sub>
            </m:sSub>
            <m:r>
              <w:rPr>
                <w:rFonts w:ascii="Cambria Math" w:hAnsi="Cambria Math"/>
              </w:rPr>
              <m:t xml:space="preserve">+</m:t>
            </m:r>
            <m:r>
              <w:rPr>
                <w:rFonts w:ascii="Cambria Math" w:hAnsi="Cambria Math"/>
              </w:rPr>
              <m:t xml:space="preserve">HY</m:t>
            </m:r>
            <m:sSub>
              <m:e>
                <m:r>
                  <w:rPr>
                    <w:rFonts w:ascii="Cambria Math" w:hAnsi="Cambria Math"/>
                  </w:rPr>
                  <m:t xml:space="preserve">I</m:t>
                </m:r>
              </m:e>
              <m:sub>
                <m:r>
                  <w:rPr>
                    <w:rFonts w:ascii="Cambria Math" w:hAnsi="Cambria Math"/>
                  </w:rPr>
                  <m:t xml:space="preserve">t</m:t>
                </m:r>
              </m:sub>
            </m:sSub>
          </m:e>
        </m:d>
      </m:oMath>
      <w:r>
        <w:rPr>
          <w:rFonts w:eastAsia="Times New Roman" w:cs="Times New Roman" w:ascii="Times New Roman" w:hAnsi="Times New Roman"/>
          <w:sz w:val="24"/>
          <w:szCs w:val="24"/>
        </w:rPr>
        <w:tab/>
        <w:tab/>
        <w:tab/>
        <w:tab/>
        <w:t>(5)</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 jednotlivé premenné sú:</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YDN</w:t>
      </w:r>
      <w:r>
        <w:rPr>
          <w:rFonts w:eastAsia="Times New Roman" w:cs="Times New Roman" w:ascii="Times New Roman" w:hAnsi="Times New Roman"/>
          <w:position w:val="-10"/>
          <w:sz w:val="24"/>
          <w:szCs w:val="24"/>
          <w:lang w:eastAsia="cs-CZ"/>
        </w:rPr>
        <w:t xml:space="preserve"> je disponibilný dôchodok domácností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HYNSI</w:t>
      </w:r>
      <w:r>
        <w:rPr>
          <w:rFonts w:eastAsia="Times New Roman" w:cs="Times New Roman" w:ascii="Times New Roman" w:hAnsi="Times New Roman"/>
          <w:position w:val="-10"/>
          <w:sz w:val="24"/>
          <w:szCs w:val="24"/>
          <w:lang w:eastAsia="cs-CZ"/>
        </w:rPr>
        <w:t xml:space="preserve"> je časový rad disponibilného príjmu domácností (daná premenná je naviazaná na trh práce),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HYS</w:t>
      </w:r>
      <w:r>
        <w:rPr>
          <w:rFonts w:eastAsia="Times New Roman" w:cs="Times New Roman" w:ascii="Times New Roman" w:hAnsi="Times New Roman"/>
          <w:position w:val="-10"/>
          <w:sz w:val="24"/>
          <w:szCs w:val="24"/>
          <w:lang w:eastAsia="cs-CZ"/>
        </w:rPr>
        <w:t xml:space="preserve"> je príjem domácností z podnikania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HYI</w:t>
      </w:r>
      <w:r>
        <w:rPr>
          <w:rFonts w:eastAsia="Times New Roman" w:cs="Times New Roman" w:ascii="Times New Roman" w:hAnsi="Times New Roman"/>
          <w:position w:val="-10"/>
          <w:sz w:val="24"/>
          <w:szCs w:val="24"/>
          <w:lang w:eastAsia="cs-CZ"/>
        </w:rPr>
        <w:t xml:space="preserve"> je príjem domácností z úrokov v bežných cenách.</w:t>
      </w:r>
    </w:p>
    <w:p>
      <w:pPr>
        <w:pStyle w:val="Heading2"/>
        <w:rPr>
          <w:rFonts w:ascii="Times New Roman" w:hAnsi="Times New Roman" w:eastAsia="Times New Roman" w:cs="Times New Roman"/>
          <w:b/>
          <w:b/>
          <w:bCs/>
          <w:sz w:val="28"/>
          <w:szCs w:val="28"/>
          <w:lang w:eastAsia="cs-CZ"/>
        </w:rPr>
      </w:pPr>
      <w:r>
        <w:rPr/>
        <w:t>Trh práce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Trh práce je možné v rámci modelu rozčleniť na tri oblasti, a to na ponuku práce, dopyt po práci a mzdy spolu s nezamestnanosťou. Východiskový model dezagreguje ponuku práce na základe populácie, pohlavia a vekových skupín. Model zachytáva 14 päťročných vekových kohort</w:t>
      </w:r>
      <w:r>
        <w:rPr>
          <w:rStyle w:val="FootnoteAnchor"/>
          <w:rFonts w:eastAsia="Times New Roman" w:cs="Times New Roman" w:ascii="Times New Roman" w:hAnsi="Times New Roman"/>
          <w:sz w:val="24"/>
          <w:szCs w:val="24"/>
          <w:lang w:eastAsia="cs-CZ"/>
        </w:rPr>
        <w:footnoteReference w:id="5"/>
      </w:r>
      <w:r>
        <w:rPr>
          <w:rFonts w:eastAsia="Times New Roman" w:cs="Times New Roman" w:ascii="Times New Roman" w:hAnsi="Times New Roman"/>
          <w:position w:val="-10"/>
          <w:sz w:val="24"/>
          <w:szCs w:val="24"/>
          <w:lang w:eastAsia="cs-CZ"/>
        </w:rPr>
        <w:t xml:space="preserve"> pre jednu skupinu pohlavia opisujúcich počet obyvateľov. Vývoj populácie v týchto kohortách bol v modeli obsiahnutý prostredníctvom exogénnych premenných a na základe nich bolo možné modelovať počet ekonomicky aktívneho obyvateľstva pre príslušnú vekovú skupinu prostredníctvom nasledujúceho vzťahu:</w:t>
      </w:r>
    </w:p>
    <w:p>
      <w:pPr>
        <w:pStyle w:val="Normal"/>
        <w:spacing w:lineRule="auto" w:line="360"/>
        <w:ind w:left="1416" w:firstLine="708"/>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4"/>
          <w:sz w:val="24"/>
          <w:szCs w:val="24"/>
          <w:lang w:val="en-US" w:eastAsia="cs-CZ"/>
        </w:rPr>
        <w:tab/>
      </w:r>
      <w:r>
        <w:rPr/>
      </w:r>
      <m:oMath xmlns:m="http://schemas.openxmlformats.org/officeDocument/2006/math">
        <m:sSub>
          <m:e>
            <m:r>
              <m:rPr>
                <m:lit/>
                <m:nor/>
              </m:rPr>
              <w:rPr>
                <w:rFonts w:ascii="Cambria Math" w:hAnsi="Cambria Math"/>
              </w:rPr>
              <m:t xml:space="preserve">TEA</m:t>
            </m:r>
          </m:e>
          <m:sub>
            <m:r>
              <w:rPr>
                <w:rFonts w:ascii="Cambria Math" w:hAnsi="Cambria Math"/>
              </w:rPr>
              <m:t xml:space="preserve">t</m:t>
            </m:r>
          </m:sub>
        </m:sSub>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m:rPr>
                <m:lit/>
                <m:nor/>
              </m:rPr>
              <w:rPr>
                <w:rFonts w:ascii="Cambria Math" w:hAnsi="Cambria Math"/>
              </w:rPr>
              <m:t xml:space="preserve">14</m:t>
            </m:r>
          </m:sup>
          <m:e>
            <m:sSub>
              <m:e>
                <m:r>
                  <m:rPr>
                    <m:lit/>
                    <m:nor/>
                  </m:rPr>
                  <w:rPr>
                    <w:rFonts w:ascii="Cambria Math" w:hAnsi="Cambria Math"/>
                  </w:rPr>
                  <m:t xml:space="preserve">PRM</m:t>
                </m:r>
              </m:e>
              <m:sub>
                <m:r>
                  <m:rPr>
                    <m:lit/>
                    <m:nor/>
                  </m:rPr>
                  <w:rPr>
                    <w:rFonts w:ascii="Cambria Math" w:hAnsi="Cambria Math"/>
                  </w:rPr>
                  <m:t xml:space="preserve">it</m:t>
                </m:r>
              </m:sub>
            </m:sSub>
            <m:sSub>
              <m:e>
                <m:r>
                  <m:rPr>
                    <m:lit/>
                    <m:nor/>
                  </m:rPr>
                  <w:rPr>
                    <w:rFonts w:ascii="Cambria Math" w:hAnsi="Cambria Math"/>
                  </w:rPr>
                  <m:t xml:space="preserve">POPM</m:t>
                </m:r>
              </m:e>
              <m:sub>
                <m:r>
                  <m:rPr>
                    <m:lit/>
                    <m:nor/>
                  </m:rPr>
                  <w:rPr>
                    <w:rFonts w:ascii="Cambria Math" w:hAnsi="Cambria Math"/>
                  </w:rPr>
                  <m:t xml:space="preserve">it</m:t>
                </m:r>
              </m:sub>
            </m:sSub>
          </m:e>
        </m:nary>
        <m:r>
          <w:rPr>
            <w:rFonts w:ascii="Cambria Math" w:hAnsi="Cambria Math"/>
          </w:rPr>
          <m:t xml:space="preserve">+</m:t>
        </m:r>
        <m:nary>
          <m:naryPr>
            <m:chr m:val="∑"/>
          </m:naryPr>
          <m:sub>
            <m:r>
              <w:rPr>
                <w:rFonts w:ascii="Cambria Math" w:hAnsi="Cambria Math"/>
              </w:rPr>
              <m:t xml:space="preserve">i</m:t>
            </m:r>
            <m:r>
              <w:rPr>
                <w:rFonts w:ascii="Cambria Math" w:hAnsi="Cambria Math"/>
              </w:rPr>
              <m:t xml:space="preserve">=</m:t>
            </m:r>
            <m:r>
              <w:rPr>
                <w:rFonts w:ascii="Cambria Math" w:hAnsi="Cambria Math"/>
              </w:rPr>
              <m:t xml:space="preserve">1</m:t>
            </m:r>
          </m:sub>
          <m:sup>
            <m:r>
              <m:rPr>
                <m:lit/>
                <m:nor/>
              </m:rPr>
              <w:rPr>
                <w:rFonts w:ascii="Cambria Math" w:hAnsi="Cambria Math"/>
              </w:rPr>
              <m:t xml:space="preserve">14</m:t>
            </m:r>
          </m:sup>
          <m:e>
            <m:sSub>
              <m:e>
                <m:r>
                  <m:rPr>
                    <m:lit/>
                    <m:nor/>
                  </m:rPr>
                  <w:rPr>
                    <w:rFonts w:ascii="Cambria Math" w:hAnsi="Cambria Math"/>
                  </w:rPr>
                  <m:t xml:space="preserve">PRF</m:t>
                </m:r>
              </m:e>
              <m:sub>
                <m:r>
                  <m:rPr>
                    <m:lit/>
                    <m:nor/>
                  </m:rPr>
                  <w:rPr>
                    <w:rFonts w:ascii="Cambria Math" w:hAnsi="Cambria Math"/>
                  </w:rPr>
                  <m:t xml:space="preserve">it</m:t>
                </m:r>
              </m:sub>
            </m:sSub>
            <m:sSub>
              <m:e>
                <m:r>
                  <m:rPr>
                    <m:lit/>
                    <m:nor/>
                  </m:rPr>
                  <w:rPr>
                    <w:rFonts w:ascii="Cambria Math" w:hAnsi="Cambria Math"/>
                  </w:rPr>
                  <m:t xml:space="preserve">POPF</m:t>
                </m:r>
              </m:e>
              <m:sub>
                <m:r>
                  <m:rPr>
                    <m:lit/>
                    <m:nor/>
                  </m:rPr>
                  <w:rPr>
                    <w:rFonts w:ascii="Cambria Math" w:hAnsi="Cambria Math"/>
                  </w:rPr>
                  <m:t xml:space="preserve">it</m:t>
                </m:r>
              </m:sub>
            </m:sSub>
          </m:e>
        </m:nary>
      </m:oMath>
      <w:r>
        <w:rPr>
          <w:rFonts w:eastAsia="Times New Roman" w:cs="Times New Roman" w:ascii="Times New Roman" w:hAnsi="Times New Roman"/>
          <w:position w:val="-24"/>
          <w:sz w:val="24"/>
          <w:szCs w:val="24"/>
          <w:lang w:val="en-US" w:eastAsia="cs-CZ"/>
        </w:rPr>
        <w:tab/>
        <w:tab/>
        <w:tab/>
        <w:t>(6)</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kde:</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TEA</w:t>
      </w:r>
      <w:r>
        <w:rPr>
          <w:rFonts w:cs="Times New Roman" w:ascii="Times New Roman" w:hAnsi="Times New Roman"/>
          <w:sz w:val="24"/>
          <w:szCs w:val="24"/>
        </w:rPr>
        <w:t xml:space="preserve"> predstavuje celkový počet ekonomicky aktívneho obyvateľstva,</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PRM</w:t>
      </w:r>
      <w:r>
        <w:rPr>
          <w:rFonts w:cs="Times New Roman" w:ascii="Times New Roman" w:hAnsi="Times New Roman"/>
          <w:sz w:val="24"/>
          <w:szCs w:val="24"/>
        </w:rPr>
        <w:t xml:space="preserve"> je miera aktivity pre konkrétnu vekovú kohortu mužov,</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POPM</w:t>
      </w:r>
      <w:r>
        <w:rPr>
          <w:rFonts w:cs="Times New Roman" w:ascii="Times New Roman" w:hAnsi="Times New Roman"/>
          <w:sz w:val="24"/>
          <w:szCs w:val="24"/>
        </w:rPr>
        <w:t xml:space="preserve"> je počet obyvateľov v konkrétnej kohorte mužov,</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PRF</w:t>
      </w:r>
      <w:r>
        <w:rPr>
          <w:rFonts w:cs="Times New Roman" w:ascii="Times New Roman" w:hAnsi="Times New Roman"/>
          <w:sz w:val="24"/>
          <w:szCs w:val="24"/>
        </w:rPr>
        <w:t xml:space="preserve"> je miera aktivity pre konkrétnu vekovú kohortu žien,</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POPF</w:t>
      </w:r>
      <w:r>
        <w:rPr>
          <w:rFonts w:cs="Times New Roman" w:ascii="Times New Roman" w:hAnsi="Times New Roman"/>
          <w:sz w:val="24"/>
          <w:szCs w:val="24"/>
        </w:rPr>
        <w:t xml:space="preserve"> je počet obyvateľov v konkrétnej kohorte žien.</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Ekonomicky aktívne obyvateľstvo je v modeli prostredníctvom premennej </w:t>
      </w:r>
      <w:r>
        <w:rPr>
          <w:rFonts w:cs="Times New Roman" w:ascii="Times New Roman" w:hAnsi="Times New Roman"/>
          <w:i/>
          <w:sz w:val="24"/>
          <w:szCs w:val="24"/>
        </w:rPr>
        <w:t>QDLF</w:t>
      </w:r>
      <w:r>
        <w:rPr>
          <w:rFonts w:cs="Times New Roman" w:ascii="Times New Roman" w:hAnsi="Times New Roman"/>
          <w:sz w:val="24"/>
          <w:szCs w:val="24"/>
        </w:rPr>
        <w:t xml:space="preserve"> reprezentujúcej kalibračnú konštantu prepočítané na celkovú pracovnú silu </w:t>
      </w:r>
      <w:r>
        <w:rPr>
          <w:rFonts w:cs="Times New Roman" w:ascii="Times New Roman" w:hAnsi="Times New Roman"/>
          <w:i/>
          <w:sz w:val="24"/>
          <w:szCs w:val="24"/>
        </w:rPr>
        <w:t>LF</w:t>
      </w:r>
      <w:r>
        <w:rPr>
          <w:rFonts w:cs="Times New Roman" w:ascii="Times New Roman" w:hAnsi="Times New Roman"/>
          <w:sz w:val="24"/>
          <w:szCs w:val="24"/>
        </w:rPr>
        <w:t xml:space="preserve"> prostredníctvom vzťahu:</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val="en-US" w:eastAsia="cs-CZ"/>
        </w:rPr>
        <w:tab/>
        <w:tab/>
        <w:tab/>
        <w:tab/>
        <w:tab/>
        <w:tab/>
      </w:r>
      <w:r>
        <w:rPr/>
      </w:r>
      <m:oMath xmlns:m="http://schemas.openxmlformats.org/officeDocument/2006/math">
        <m:sSub>
          <m:e>
            <m:r>
              <m:rPr>
                <m:lit/>
                <m:nor/>
              </m:rPr>
              <w:rPr>
                <w:rFonts w:ascii="Cambria Math" w:hAnsi="Cambria Math"/>
              </w:rPr>
              <m:t xml:space="preserve">LF</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QDLF</m:t>
            </m:r>
          </m:e>
          <m:sub>
            <m:r>
              <w:rPr>
                <w:rFonts w:ascii="Cambria Math" w:hAnsi="Cambria Math"/>
              </w:rPr>
              <m:t xml:space="preserve">t</m:t>
            </m:r>
          </m:sub>
        </m:sSub>
        <m:sSub>
          <m:e>
            <m:r>
              <m:rPr>
                <m:lit/>
                <m:nor/>
              </m:rPr>
              <w:rPr>
                <w:rFonts w:ascii="Cambria Math" w:hAnsi="Cambria Math"/>
              </w:rPr>
              <m:t xml:space="preserve">TEA</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(7)</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Celková pracovná sila </w:t>
      </w:r>
      <w:r>
        <w:rPr>
          <w:rFonts w:eastAsia="Times New Roman" w:cs="Times New Roman" w:ascii="Times New Roman" w:hAnsi="Times New Roman"/>
          <w:i/>
          <w:position w:val="-10"/>
          <w:sz w:val="24"/>
          <w:szCs w:val="24"/>
          <w:lang w:eastAsia="cs-CZ"/>
        </w:rPr>
        <w:t>LF</w:t>
      </w:r>
      <w:r>
        <w:rPr>
          <w:rFonts w:eastAsia="Times New Roman" w:cs="Times New Roman" w:ascii="Times New Roman" w:hAnsi="Times New Roman"/>
          <w:position w:val="-10"/>
          <w:sz w:val="24"/>
          <w:szCs w:val="24"/>
          <w:lang w:eastAsia="cs-CZ"/>
        </w:rPr>
        <w:t xml:space="preserve"> je následne v modeli použitá na modelovanie závislej ponuky práce </w:t>
      </w:r>
      <w:r>
        <w:rPr>
          <w:rFonts w:eastAsia="Times New Roman" w:cs="Times New Roman" w:ascii="Times New Roman" w:hAnsi="Times New Roman"/>
          <w:i/>
          <w:position w:val="-10"/>
          <w:sz w:val="24"/>
          <w:szCs w:val="24"/>
          <w:lang w:eastAsia="cs-CZ"/>
        </w:rPr>
        <w:t>LS</w:t>
      </w:r>
      <w:r>
        <w:rPr>
          <w:rFonts w:eastAsia="Times New Roman" w:cs="Times New Roman" w:ascii="Times New Roman" w:hAnsi="Times New Roman"/>
          <w:position w:val="-10"/>
          <w:sz w:val="24"/>
          <w:szCs w:val="24"/>
          <w:lang w:eastAsia="cs-CZ"/>
        </w:rPr>
        <w:t xml:space="preserve"> a rovnako s použitím exogénnej premennej </w:t>
      </w:r>
      <w:r>
        <w:rPr>
          <w:rFonts w:eastAsia="Times New Roman" w:cs="Times New Roman" w:ascii="Times New Roman" w:hAnsi="Times New Roman"/>
          <w:i/>
          <w:position w:val="-10"/>
          <w:sz w:val="24"/>
          <w:szCs w:val="24"/>
          <w:lang w:eastAsia="cs-CZ"/>
        </w:rPr>
        <w:t>QLS</w:t>
      </w:r>
      <w:r>
        <w:rPr>
          <w:rFonts w:eastAsia="Times New Roman" w:cs="Times New Roman" w:ascii="Times New Roman" w:hAnsi="Times New Roman"/>
          <w:position w:val="-10"/>
          <w:sz w:val="24"/>
          <w:szCs w:val="24"/>
          <w:lang w:eastAsia="cs-CZ"/>
        </w:rPr>
        <w:t xml:space="preserve"> vzťahom v tvare:</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val="en-US" w:eastAsia="cs-CZ"/>
        </w:rPr>
        <w:tab/>
        <w:tab/>
        <w:tab/>
        <w:tab/>
        <w:tab/>
        <w:tab/>
      </w:r>
      <w:r>
        <w:rPr/>
      </w:r>
      <m:oMath xmlns:m="http://schemas.openxmlformats.org/officeDocument/2006/math">
        <m:sSub>
          <m:e>
            <m:r>
              <m:rPr>
                <m:lit/>
                <m:nor/>
              </m:rPr>
              <w:rPr>
                <w:rFonts w:ascii="Cambria Math" w:hAnsi="Cambria Math"/>
              </w:rPr>
              <m:t xml:space="preserve">LS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QLS</m:t>
            </m:r>
          </m:e>
          <m:sub>
            <m:r>
              <w:rPr>
                <w:rFonts w:ascii="Cambria Math" w:hAnsi="Cambria Math"/>
              </w:rPr>
              <m:t xml:space="preserve">t</m:t>
            </m:r>
          </m:sub>
        </m:sSub>
        <m:sSub>
          <m:e>
            <m:r>
              <m:rPr>
                <m:lit/>
                <m:nor/>
              </m:rPr>
              <w:rPr>
                <w:rFonts w:ascii="Cambria Math" w:hAnsi="Cambria Math"/>
              </w:rPr>
              <m:t xml:space="preserve">LF</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ab/>
        <w:t>(8)</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val="en-US" w:eastAsia="cs-CZ"/>
        </w:rPr>
        <w:t>V</w:t>
      </w:r>
      <w:r>
        <w:rPr>
          <w:rFonts w:eastAsia="Times New Roman" w:cs="Times New Roman" w:ascii="Times New Roman" w:hAnsi="Times New Roman"/>
          <w:position w:val="-10"/>
          <w:sz w:val="24"/>
          <w:szCs w:val="24"/>
          <w:lang w:eastAsia="cs-CZ"/>
        </w:rPr>
        <w:t xml:space="preserve"> rámci </w:t>
      </w:r>
      <w:r>
        <w:rPr>
          <w:rFonts w:eastAsia="Times New Roman" w:cs="Times New Roman" w:ascii="Times New Roman" w:hAnsi="Times New Roman"/>
          <w:i/>
          <w:position w:val="-10"/>
          <w:sz w:val="24"/>
          <w:szCs w:val="24"/>
          <w:lang w:eastAsia="cs-CZ"/>
        </w:rPr>
        <w:t>LS</w:t>
      </w:r>
      <w:r>
        <w:rPr>
          <w:rFonts w:eastAsia="Times New Roman" w:cs="Times New Roman" w:ascii="Times New Roman" w:hAnsi="Times New Roman"/>
          <w:position w:val="-10"/>
          <w:sz w:val="24"/>
          <w:szCs w:val="24"/>
          <w:lang w:eastAsia="cs-CZ"/>
        </w:rPr>
        <w:t xml:space="preserve"> model obsahuje vyčlenenie samostatne zárobkových osôb </w:t>
      </w:r>
      <w:r>
        <w:rPr>
          <w:rFonts w:eastAsia="Times New Roman" w:cs="Times New Roman" w:ascii="Times New Roman" w:hAnsi="Times New Roman"/>
          <w:i/>
          <w:position w:val="-10"/>
          <w:sz w:val="24"/>
          <w:szCs w:val="24"/>
          <w:lang w:eastAsia="cs-CZ"/>
        </w:rPr>
        <w:t>LSS</w:t>
      </w:r>
      <w:r>
        <w:rPr>
          <w:rFonts w:eastAsia="Times New Roman" w:cs="Times New Roman" w:ascii="Times New Roman" w:hAnsi="Times New Roman"/>
          <w:position w:val="-10"/>
          <w:sz w:val="24"/>
          <w:szCs w:val="24"/>
          <w:lang w:eastAsia="cs-CZ"/>
        </w:rPr>
        <w:t xml:space="preserve"> vzťahom:</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val="en-US" w:eastAsia="cs-CZ"/>
        </w:rPr>
        <w:tab/>
        <w:tab/>
        <w:tab/>
        <w:tab/>
        <w:tab/>
        <w:tab/>
      </w:r>
      <w:r>
        <w:rPr/>
      </w:r>
      <m:oMath xmlns:m="http://schemas.openxmlformats.org/officeDocument/2006/math">
        <m:sSub>
          <m:e>
            <m:r>
              <m:rPr>
                <m:lit/>
                <m:nor/>
              </m:rPr>
              <w:rPr>
                <w:rFonts w:ascii="Cambria Math" w:hAnsi="Cambria Math"/>
              </w:rPr>
              <m:t xml:space="preserve">LSS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LF</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LS</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(9)</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Druhá oblasť, ktorú model v rámci bloku trhu práce zachytáva, je dopyt po práci a rovnako v našom východiskovom modeli, ako aj v modeli Baumgartnera et al. (2004) je vyjadrený prostredníctvom modelu čiastočného prispôsobenia v tvare:</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26"/>
          <w:sz w:val="24"/>
          <w:szCs w:val="24"/>
          <w:lang w:val="en-US" w:eastAsia="cs-CZ"/>
        </w:rPr>
        <w:tab/>
        <w:tab/>
        <w:tab/>
        <w:tab/>
        <w:tab/>
      </w:r>
      <w:r>
        <w:rPr/>
      </w:r>
      <m:oMath xmlns:m="http://schemas.openxmlformats.org/officeDocument/2006/math">
        <m:eqArr>
          <m:e>
            <m:r>
              <m:rPr>
                <m:lit/>
                <m:nor/>
              </m:rPr>
              <w:rPr>
                <w:rFonts w:ascii="Cambria Math" w:hAnsi="Cambria Math"/>
              </w:rPr>
              <m:t xml:space="preserve">ln</m:t>
            </m:r>
            <m:d>
              <m:dPr>
                <m:begChr m:val="("/>
                <m:endChr m:val=")"/>
              </m:dPr>
              <m:e>
                <m:sSub>
                  <m:e>
                    <m:r>
                      <m:rPr>
                        <m:lit/>
                        <m:nor/>
                      </m:rPr>
                      <w:rPr>
                        <w:rFonts w:ascii="Cambria Math" w:hAnsi="Cambria Math"/>
                      </w:rPr>
                      <m:t xml:space="preserve">LD</m:t>
                    </m:r>
                  </m:e>
                  <m:sub>
                    <m:r>
                      <w:rPr>
                        <w:rFonts w:ascii="Cambria Math" w:hAnsi="Cambria Math"/>
                      </w:rPr>
                      <m:t xml:space="preserve">t</m:t>
                    </m:r>
                  </m:sub>
                </m:sSub>
              </m:e>
            </m:d>
            <m:r>
              <w:rPr>
                <w:rFonts w:ascii="Cambria Math" w:hAnsi="Cambria Math"/>
              </w:rPr>
              <m:t xml:space="preserve">=</m:t>
            </m:r>
            <m:sSub>
              <m:e>
                <m:r>
                  <m:rPr>
                    <m:lit/>
                    <m:nor/>
                  </m:rPr>
                  <w:rPr>
                    <w:rFonts w:ascii="Cambria Math" w:hAnsi="Cambria Math"/>
                  </w:rPr>
                  <m:t xml:space="preserve">ALD</m:t>
                </m:r>
              </m:e>
              <m:sub>
                <m:r>
                  <w:rPr>
                    <w:rFonts w:ascii="Cambria Math" w:hAnsi="Cambria Math"/>
                  </w:rPr>
                  <m:t xml:space="preserve">t</m:t>
                </m:r>
              </m:sub>
            </m:sSub>
            <m:d>
              <m:dPr>
                <m:begChr m:val="("/>
                <m:endChr m:val=")"/>
              </m:dPr>
              <m:e>
                <m:r>
                  <m:rPr>
                    <m:lit/>
                    <m:nor/>
                  </m:rPr>
                  <w:rPr>
                    <w:rFonts w:ascii="Cambria Math" w:hAnsi="Cambria Math"/>
                  </w:rPr>
                  <m:t xml:space="preserve">ln</m:t>
                </m:r>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α</m:t>
                        </m:r>
                      </m:e>
                      <m:sub>
                        <m:r>
                          <w:rPr>
                            <w:rFonts w:ascii="Cambria Math" w:hAnsi="Cambria Math"/>
                          </w:rPr>
                          <m:t xml:space="preserve">t</m:t>
                        </m:r>
                      </m:sub>
                    </m:sSub>
                  </m:e>
                </m:d>
                <m:r>
                  <w:rPr>
                    <w:rFonts w:ascii="Cambria Math" w:hAnsi="Cambria Math"/>
                  </w:rPr>
                  <m:t xml:space="preserve">−</m:t>
                </m:r>
                <m:r>
                  <m:rPr>
                    <m:lit/>
                    <m:nor/>
                  </m:rPr>
                  <w:rPr>
                    <w:rFonts w:ascii="Cambria Math" w:hAnsi="Cambria Math"/>
                  </w:rPr>
                  <m:t xml:space="preserve">ln</m:t>
                </m:r>
                <m:d>
                  <m:dPr>
                    <m:begChr m:val="("/>
                    <m:endChr m:val=")"/>
                  </m:dPr>
                  <m:e>
                    <m:sSub>
                      <m:e>
                        <m:r>
                          <w:rPr>
                            <w:rFonts w:ascii="Cambria Math" w:hAnsi="Cambria Math"/>
                          </w:rPr>
                          <m:t xml:space="preserve">W</m:t>
                        </m:r>
                      </m:e>
                      <m:sub>
                        <m:r>
                          <w:rPr>
                            <w:rFonts w:ascii="Cambria Math" w:hAnsi="Cambria Math"/>
                          </w:rPr>
                          <m:t xml:space="preserve">t</m:t>
                        </m:r>
                      </m:sub>
                    </m:sSub>
                  </m:e>
                </m:d>
                <m:r>
                  <w:rPr>
                    <w:rFonts w:ascii="Cambria Math" w:hAnsi="Cambria Math"/>
                  </w:rPr>
                  <m:t xml:space="preserve">+</m:t>
                </m:r>
                <m:r>
                  <m:rPr>
                    <m:lit/>
                    <m:nor/>
                  </m:rPr>
                  <w:rPr>
                    <w:rFonts w:ascii="Cambria Math" w:hAnsi="Cambria Math"/>
                  </w:rPr>
                  <m:t xml:space="preserve">ln</m:t>
                </m:r>
                <m:d>
                  <m:dPr>
                    <m:begChr m:val="("/>
                    <m:endChr m:val=")"/>
                  </m:dPr>
                  <m:e>
                    <m:sSub>
                      <m:e>
                        <m:r>
                          <w:rPr>
                            <w:rFonts w:ascii="Cambria Math" w:hAnsi="Cambria Math"/>
                          </w:rPr>
                          <m:t xml:space="preserve">Y</m:t>
                        </m:r>
                      </m:e>
                      <m:sub>
                        <m:r>
                          <w:rPr>
                            <w:rFonts w:ascii="Cambria Math" w:hAnsi="Cambria Math"/>
                          </w:rPr>
                          <m:t xml:space="preserve">t</m:t>
                        </m:r>
                      </m:sub>
                    </m:sSub>
                  </m:e>
                </m:d>
              </m:e>
            </m:d>
          </m:e>
          <m:e>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sSub>
                  <m:e>
                    <m:r>
                      <m:rPr>
                        <m:lit/>
                        <m:nor/>
                      </m:rPr>
                      <w:rPr>
                        <w:rFonts w:ascii="Cambria Math" w:hAnsi="Cambria Math"/>
                      </w:rPr>
                      <m:t xml:space="preserve">ALD</m:t>
                    </m:r>
                  </m:e>
                  <m:sub>
                    <m:r>
                      <w:rPr>
                        <w:rFonts w:ascii="Cambria Math" w:hAnsi="Cambria Math"/>
                      </w:rPr>
                      <m:t xml:space="preserve">t</m:t>
                    </m:r>
                  </m:sub>
                </m:sSub>
              </m:e>
            </m:d>
            <m:r>
              <m:rPr>
                <m:lit/>
                <m:nor/>
              </m:rPr>
              <w:rPr>
                <w:rFonts w:ascii="Cambria Math" w:hAnsi="Cambria Math"/>
              </w:rPr>
              <m:t xml:space="preserve">ln</m:t>
            </m:r>
            <m:d>
              <m:dPr>
                <m:begChr m:val="("/>
                <m:endChr m:val=")"/>
              </m:dPr>
              <m:e>
                <m:sSub>
                  <m:e>
                    <m:r>
                      <m:rPr>
                        <m:lit/>
                        <m:nor/>
                      </m:rPr>
                      <w:rPr>
                        <w:rFonts w:ascii="Cambria Math" w:hAnsi="Cambria Math"/>
                      </w:rPr>
                      <m:t xml:space="preserve">LD</m:t>
                    </m:r>
                  </m:e>
                  <m:sub>
                    <m:r>
                      <w:rPr>
                        <w:rFonts w:ascii="Cambria Math" w:hAnsi="Cambria Math"/>
                      </w:rPr>
                      <m:t xml:space="preserve">t</m:t>
                    </m:r>
                    <m:r>
                      <w:rPr>
                        <w:rFonts w:ascii="Cambria Math" w:hAnsi="Cambria Math"/>
                      </w:rPr>
                      <m:t xml:space="preserve">−</m:t>
                    </m:r>
                    <m:r>
                      <w:rPr>
                        <w:rFonts w:ascii="Cambria Math" w:hAnsi="Cambria Math"/>
                      </w:rPr>
                      <m:t xml:space="preserve">1</m:t>
                    </m:r>
                  </m:sub>
                </m:sSub>
              </m:e>
            </m:d>
          </m:e>
        </m:eqArr>
      </m:oMath>
      <w:r>
        <w:rPr>
          <w:rFonts w:eastAsia="Times New Roman" w:cs="Times New Roman" w:ascii="Times New Roman" w:hAnsi="Times New Roman"/>
          <w:position w:val="-26"/>
          <w:sz w:val="24"/>
          <w:szCs w:val="24"/>
          <w:lang w:val="en-US" w:eastAsia="cs-CZ"/>
        </w:rPr>
        <w:tab/>
        <w:tab/>
        <w:t>(10)</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LD</w:t>
      </w:r>
      <w:r>
        <w:rPr>
          <w:rFonts w:eastAsia="Times New Roman" w:cs="Times New Roman" w:ascii="Times New Roman" w:hAnsi="Times New Roman"/>
          <w:position w:val="-26"/>
          <w:sz w:val="24"/>
          <w:szCs w:val="24"/>
          <w:lang w:eastAsia="cs-CZ"/>
        </w:rPr>
        <w:t xml:space="preserve"> predstavuje objem vstupu práce, ktorý je vyjadrený v hodinách,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α</w:t>
      </w:r>
      <w:r>
        <w:rPr>
          <w:rFonts w:eastAsia="Times New Roman" w:cs="Times New Roman" w:ascii="Times New Roman" w:hAnsi="Times New Roman"/>
          <w:position w:val="-26"/>
          <w:sz w:val="24"/>
          <w:szCs w:val="24"/>
          <w:lang w:eastAsia="cs-CZ"/>
        </w:rPr>
        <w:t xml:space="preserve"> je parametrom elasticity vstupu z Cobb-Douglasovej produkčnej funkcie,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W</w:t>
      </w:r>
      <w:r>
        <w:rPr>
          <w:rFonts w:eastAsia="Times New Roman" w:cs="Times New Roman" w:ascii="Times New Roman" w:hAnsi="Times New Roman"/>
          <w:position w:val="-26"/>
          <w:sz w:val="24"/>
          <w:szCs w:val="24"/>
          <w:lang w:eastAsia="cs-CZ"/>
        </w:rPr>
        <w:t xml:space="preserve"> je hodinovou reálnou mzdou,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ALD</w:t>
      </w:r>
      <w:r>
        <w:rPr>
          <w:rFonts w:eastAsia="Times New Roman" w:cs="Times New Roman" w:ascii="Times New Roman" w:hAnsi="Times New Roman"/>
          <w:position w:val="-26"/>
          <w:sz w:val="24"/>
          <w:szCs w:val="24"/>
          <w:lang w:eastAsia="cs-CZ"/>
        </w:rPr>
        <w:t xml:space="preserve"> je parametrom čiastočného prispôsobenia a pohybuje sa v intervale 0 &lt; ALD &lt; 1, ktorého hodnota sa v modeli mení v čase.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Dopyt po práci rastie spolu s rastom výstupu a klesá rastom miezd. Premenná </w:t>
      </w:r>
      <w:r>
        <w:rPr>
          <w:rFonts w:eastAsia="Times New Roman" w:cs="Times New Roman" w:ascii="Times New Roman" w:hAnsi="Times New Roman"/>
          <w:i/>
          <w:position w:val="-26"/>
          <w:sz w:val="24"/>
          <w:szCs w:val="24"/>
          <w:lang w:eastAsia="cs-CZ"/>
        </w:rPr>
        <w:t>LD</w:t>
      </w:r>
      <w:r>
        <w:rPr>
          <w:rFonts w:eastAsia="Times New Roman" w:cs="Times New Roman" w:ascii="Times New Roman" w:hAnsi="Times New Roman"/>
          <w:position w:val="-26"/>
          <w:sz w:val="24"/>
          <w:szCs w:val="24"/>
          <w:lang w:eastAsia="cs-CZ"/>
        </w:rPr>
        <w:t xml:space="preserve"> je v modeli ďalej použitá na prepočet odpracovaných hodín na počet zamestnancov prostredníctvom vzťahu:</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LEM</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LD</m:t>
                </m:r>
              </m:e>
              <m:sub>
                <m:r>
                  <w:rPr>
                    <w:rFonts w:ascii="Cambria Math" w:hAnsi="Cambria Math"/>
                  </w:rPr>
                  <m:t xml:space="preserve">t</m:t>
                </m:r>
              </m:sub>
            </m:sSub>
          </m:num>
          <m:den>
            <m:sSub>
              <m:e>
                <m:r>
                  <m:rPr>
                    <m:lit/>
                    <m:nor/>
                  </m:rPr>
                  <w:rPr>
                    <w:rFonts w:ascii="Cambria Math" w:hAnsi="Cambria Math"/>
                  </w:rPr>
                  <m:t xml:space="preserve">QLD</m:t>
                </m:r>
              </m:e>
              <m:sub>
                <m:r>
                  <w:rPr>
                    <w:rFonts w:ascii="Cambria Math" w:hAnsi="Cambria Math"/>
                  </w:rPr>
                  <m:t xml:space="preserve">t</m:t>
                </m:r>
              </m:sub>
            </m:sSub>
            <m:sSub>
              <m:e>
                <m:r>
                  <m:rPr>
                    <m:lit/>
                    <m:nor/>
                  </m:rPr>
                  <w:rPr>
                    <w:rFonts w:ascii="Cambria Math" w:hAnsi="Cambria Math"/>
                  </w:rPr>
                  <m:t xml:space="preserve">QWT</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ab/>
        <w:t>(11)</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LEM</w:t>
      </w:r>
      <w:r>
        <w:rPr>
          <w:rFonts w:eastAsia="Times New Roman" w:cs="Times New Roman" w:ascii="Times New Roman" w:hAnsi="Times New Roman"/>
          <w:position w:val="-26"/>
          <w:sz w:val="24"/>
          <w:szCs w:val="24"/>
          <w:lang w:eastAsia="cs-CZ"/>
        </w:rPr>
        <w:t xml:space="preserve"> je počet zamestnancov na štandardnom trhu,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QWT</w:t>
      </w:r>
      <w:r>
        <w:rPr>
          <w:rFonts w:eastAsia="Times New Roman" w:cs="Times New Roman" w:ascii="Times New Roman" w:hAnsi="Times New Roman"/>
          <w:position w:val="-26"/>
          <w:sz w:val="24"/>
          <w:szCs w:val="24"/>
          <w:lang w:eastAsia="cs-CZ"/>
        </w:rPr>
        <w:t xml:space="preserve"> je počet hodín, ktoré pripadajú na jedného zamestnanca ročne,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QLD</w:t>
      </w:r>
      <w:r>
        <w:rPr>
          <w:rFonts w:eastAsia="Times New Roman" w:cs="Times New Roman" w:ascii="Times New Roman" w:hAnsi="Times New Roman"/>
          <w:position w:val="-26"/>
          <w:sz w:val="24"/>
          <w:szCs w:val="24"/>
          <w:lang w:eastAsia="cs-CZ"/>
        </w:rPr>
        <w:t xml:space="preserve"> je kalibračnou konštantou na vyrovnávanie prípadných diskrepancií spôsobených neúplným úväzkom, pracovnou neschopnosťou, resp. materskou dovolenkou.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V popisovanom modeli sú však do celkového počtu zamestnancov zahrnutí aj „inkluzívni zamestnanci“ </w:t>
      </w:r>
      <w:r>
        <w:rPr>
          <w:rFonts w:eastAsia="Times New Roman" w:cs="Times New Roman" w:ascii="Times New Roman" w:hAnsi="Times New Roman"/>
          <w:i/>
          <w:position w:val="-26"/>
          <w:sz w:val="24"/>
          <w:szCs w:val="24"/>
          <w:lang w:eastAsia="cs-CZ"/>
        </w:rPr>
        <w:t>LEIM</w:t>
      </w:r>
      <w:r>
        <w:rPr>
          <w:rFonts w:eastAsia="Times New Roman" w:cs="Times New Roman" w:ascii="Times New Roman" w:hAnsi="Times New Roman"/>
          <w:position w:val="-26"/>
          <w:sz w:val="24"/>
          <w:szCs w:val="24"/>
          <w:lang w:eastAsia="cs-CZ"/>
        </w:rPr>
        <w:t xml:space="preserve"> a potom úplný celkový počet zamestnancov je vypočítaný ako:</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LE</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LEM</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LEIM</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(12)</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Odpočítaním získaného ukazovateľa </w:t>
      </w:r>
      <w:r>
        <w:rPr>
          <w:rFonts w:eastAsia="Times New Roman" w:cs="Times New Roman" w:ascii="Times New Roman" w:hAnsi="Times New Roman"/>
          <w:i/>
          <w:position w:val="-10"/>
          <w:sz w:val="24"/>
          <w:szCs w:val="24"/>
          <w:lang w:eastAsia="cs-CZ"/>
        </w:rPr>
        <w:t>LE</w:t>
      </w:r>
      <w:r>
        <w:rPr>
          <w:rFonts w:eastAsia="Times New Roman" w:cs="Times New Roman" w:ascii="Times New Roman" w:hAnsi="Times New Roman"/>
          <w:position w:val="-10"/>
          <w:sz w:val="24"/>
          <w:szCs w:val="24"/>
          <w:lang w:eastAsia="cs-CZ"/>
        </w:rPr>
        <w:t xml:space="preserve"> od celkovej pracovnej ponuky </w:t>
      </w:r>
      <w:r>
        <w:rPr>
          <w:rFonts w:eastAsia="Times New Roman" w:cs="Times New Roman" w:ascii="Times New Roman" w:hAnsi="Times New Roman"/>
          <w:i/>
          <w:position w:val="-10"/>
          <w:sz w:val="24"/>
          <w:szCs w:val="24"/>
          <w:lang w:eastAsia="cs-CZ"/>
        </w:rPr>
        <w:t>LS</w:t>
      </w:r>
      <w:r>
        <w:rPr>
          <w:rFonts w:eastAsia="Times New Roman" w:cs="Times New Roman" w:ascii="Times New Roman" w:hAnsi="Times New Roman"/>
          <w:position w:val="-10"/>
          <w:sz w:val="24"/>
          <w:szCs w:val="24"/>
          <w:lang w:eastAsia="cs-CZ"/>
        </w:rPr>
        <w:t xml:space="preserve"> sa získa ukazovateľ veľkosti počtu nezamestnaných:</w:t>
      </w:r>
    </w:p>
    <w:p>
      <w:pPr>
        <w:pStyle w:val="Normal"/>
        <w:spacing w:lineRule="auto" w:line="360"/>
        <w:ind w:left="4248" w:hanging="0"/>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LU</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LE</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(13)</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Prostredníctvom</w:t>
      </w:r>
      <w:r>
        <w:rPr>
          <w:rFonts w:eastAsia="Times New Roman" w:cs="Times New Roman" w:ascii="Times New Roman" w:hAnsi="Times New Roman"/>
          <w:position w:val="-10"/>
          <w:sz w:val="24"/>
          <w:szCs w:val="24"/>
          <w:lang w:val="en-US" w:eastAsia="cs-CZ"/>
        </w:rPr>
        <w:t xml:space="preserve"> </w:t>
      </w:r>
      <w:r>
        <w:rPr>
          <w:rFonts w:eastAsia="Times New Roman" w:cs="Times New Roman" w:ascii="Times New Roman" w:hAnsi="Times New Roman"/>
          <w:i/>
          <w:position w:val="-10"/>
          <w:sz w:val="24"/>
          <w:szCs w:val="24"/>
          <w:lang w:val="en-US" w:eastAsia="cs-CZ"/>
        </w:rPr>
        <w:t>LU</w:t>
      </w:r>
      <w:r>
        <w:rPr>
          <w:rFonts w:eastAsia="Times New Roman" w:cs="Times New Roman" w:ascii="Times New Roman" w:hAnsi="Times New Roman"/>
          <w:position w:val="-10"/>
          <w:sz w:val="24"/>
          <w:szCs w:val="24"/>
          <w:lang w:val="en-US" w:eastAsia="cs-CZ"/>
        </w:rPr>
        <w:t xml:space="preserve"> </w:t>
      </w:r>
      <w:r>
        <w:rPr>
          <w:rFonts w:eastAsia="Times New Roman" w:cs="Times New Roman" w:ascii="Times New Roman" w:hAnsi="Times New Roman"/>
          <w:position w:val="-10"/>
          <w:sz w:val="24"/>
          <w:szCs w:val="24"/>
          <w:lang w:eastAsia="cs-CZ"/>
        </w:rPr>
        <w:t xml:space="preserve">celkového počtu nezamestnaných sa dostáva do tretej oblasti daného bloku trhu práce, a to na výpočet mzdy a nezamestnanosti v popisovanom modeli. Miera celkovej nezamestnanosti </w:t>
      </w:r>
      <w:r>
        <w:rPr>
          <w:rFonts w:eastAsia="Times New Roman" w:cs="Times New Roman" w:ascii="Times New Roman" w:hAnsi="Times New Roman"/>
          <w:i/>
          <w:position w:val="-10"/>
          <w:sz w:val="24"/>
          <w:szCs w:val="24"/>
          <w:lang w:eastAsia="cs-CZ"/>
        </w:rPr>
        <w:t>UR</w:t>
      </w:r>
      <w:r>
        <w:rPr>
          <w:rFonts w:eastAsia="Times New Roman" w:cs="Times New Roman" w:ascii="Times New Roman" w:hAnsi="Times New Roman"/>
          <w:position w:val="-10"/>
          <w:sz w:val="24"/>
          <w:szCs w:val="24"/>
          <w:lang w:eastAsia="cs-CZ"/>
        </w:rPr>
        <w:t xml:space="preserve"> je potom daná vzťahom podielu celkového počtu nezamestnaných na celkovej pracovnej sile:</w:t>
      </w:r>
    </w:p>
    <w:p>
      <w:pPr>
        <w:pStyle w:val="Normal"/>
        <w:spacing w:lineRule="auto" w:line="360"/>
        <w:ind w:left="3540" w:firstLine="708"/>
        <w:jc w:val="both"/>
        <w:rPr>
          <w:rFonts w:ascii="Times New Roman" w:hAnsi="Times New Roman" w:eastAsia="Times New Roman" w:cs="Times New Roman"/>
          <w:sz w:val="24"/>
          <w:szCs w:val="24"/>
          <w:lang w:eastAsia="cs-CZ"/>
        </w:rPr>
      </w:pPr>
      <w:r>
        <w:rPr/>
      </w:r>
      <m:oMath xmlns:m="http://schemas.openxmlformats.org/officeDocument/2006/math">
        <m:sSub>
          <m:e>
            <m:r>
              <m:rPr>
                <m:lit/>
                <m:nor/>
              </m:rPr>
              <w:rPr>
                <w:rFonts w:ascii="Cambria Math" w:hAnsi="Cambria Math"/>
              </w:rPr>
              <m:t xml:space="preserve">UR</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LU</m:t>
                </m:r>
              </m:e>
              <m:sub>
                <m:r>
                  <w:rPr>
                    <w:rFonts w:ascii="Cambria Math" w:hAnsi="Cambria Math"/>
                  </w:rPr>
                  <m:t xml:space="preserve">t</m:t>
                </m:r>
              </m:sub>
            </m:sSub>
          </m:num>
          <m:den>
            <m:sSub>
              <m:e>
                <m:r>
                  <m:rPr>
                    <m:lit/>
                    <m:nor/>
                  </m:rPr>
                  <w:rPr>
                    <w:rFonts w:ascii="Cambria Math" w:hAnsi="Cambria Math"/>
                  </w:rPr>
                  <m:t xml:space="preserve">LF</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ab/>
        <w:tab/>
        <w:t>(14)</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Hraničný produkt práce na hodiny práce v stálych cenách </w:t>
      </w:r>
      <w:r>
        <w:rPr>
          <w:rFonts w:eastAsia="Times New Roman" w:cs="Times New Roman" w:ascii="Times New Roman" w:hAnsi="Times New Roman"/>
          <w:i/>
          <w:position w:val="-10"/>
          <w:sz w:val="24"/>
          <w:szCs w:val="24"/>
          <w:lang w:eastAsia="cs-CZ"/>
        </w:rPr>
        <w:t>MPL</w:t>
      </w:r>
      <w:r>
        <w:rPr>
          <w:rFonts w:eastAsia="Times New Roman" w:cs="Times New Roman" w:ascii="Times New Roman" w:hAnsi="Times New Roman"/>
          <w:position w:val="-10"/>
          <w:sz w:val="24"/>
          <w:szCs w:val="24"/>
          <w:lang w:eastAsia="cs-CZ"/>
        </w:rPr>
        <w:t xml:space="preserve"> je modelom zachytený rovnicou:</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MPL</m:t>
            </m:r>
          </m:e>
          <m:sub>
            <m:r>
              <w:rPr>
                <w:rFonts w:ascii="Cambria Math" w:hAnsi="Cambria Math"/>
              </w:rPr>
              <m:t xml:space="preserve">t</m:t>
            </m:r>
          </m:sub>
        </m:sSub>
        <m:r>
          <w:rPr>
            <w:rFonts w:ascii="Cambria Math" w:hAnsi="Cambria Math"/>
          </w:rPr>
          <m:t xml:space="preserve">=</m:t>
        </m:r>
        <m:f>
          <m:num>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α</m:t>
                    </m:r>
                  </m:e>
                  <m:sub>
                    <m:r>
                      <w:rPr>
                        <w:rFonts w:ascii="Cambria Math" w:hAnsi="Cambria Math"/>
                      </w:rPr>
                      <m:t xml:space="preserve">t</m:t>
                    </m:r>
                  </m:sub>
                </m:sSub>
              </m:e>
            </m:d>
            <m:r>
              <w:rPr>
                <w:rFonts w:ascii="Cambria Math" w:hAnsi="Cambria Math"/>
              </w:rPr>
              <m:t xml:space="preserve">⋅</m:t>
            </m:r>
            <m:sSub>
              <m:e>
                <m:r>
                  <w:rPr>
                    <w:rFonts w:ascii="Cambria Math" w:hAnsi="Cambria Math"/>
                  </w:rPr>
                  <m:t xml:space="preserve">Y</m:t>
                </m:r>
              </m:e>
              <m:sub>
                <m:r>
                  <w:rPr>
                    <w:rFonts w:ascii="Cambria Math" w:hAnsi="Cambria Math"/>
                  </w:rPr>
                  <m:t xml:space="preserve">t</m:t>
                </m:r>
              </m:sub>
            </m:sSub>
          </m:num>
          <m:den>
            <m:sSub>
              <m:e>
                <m:r>
                  <m:rPr>
                    <m:lit/>
                    <m:nor/>
                  </m:rPr>
                  <w:rPr>
                    <w:rFonts w:ascii="Cambria Math" w:hAnsi="Cambria Math"/>
                  </w:rPr>
                  <m:t xml:space="preserve">LD</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ab/>
        <w:t>(15)</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Medzera zdanenia príjmu z práce </w:t>
      </w:r>
      <w:r>
        <w:rPr>
          <w:rFonts w:eastAsia="Times New Roman" w:cs="Times New Roman" w:ascii="Times New Roman" w:hAnsi="Times New Roman"/>
          <w:i/>
          <w:position w:val="-26"/>
          <w:sz w:val="24"/>
          <w:szCs w:val="24"/>
          <w:lang w:eastAsia="cs-CZ"/>
        </w:rPr>
        <w:t>TWED</w:t>
      </w:r>
      <w:r>
        <w:rPr>
          <w:rFonts w:eastAsia="Times New Roman" w:cs="Times New Roman" w:ascii="Times New Roman" w:hAnsi="Times New Roman"/>
          <w:position w:val="-26"/>
          <w:sz w:val="24"/>
          <w:szCs w:val="24"/>
          <w:lang w:eastAsia="cs-CZ"/>
        </w:rPr>
        <w:t>, a teda podiel „super hrubej“ mzdy na čistej mzde je modelovaný prostredníctvom vzťahu:</w:t>
      </w:r>
    </w:p>
    <w:p>
      <w:pPr>
        <w:pStyle w:val="Normal"/>
        <w:spacing w:lineRule="auto" w:line="360"/>
        <w:ind w:left="2832"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TWED</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YL</m:t>
                </m:r>
              </m:e>
              <m:sub>
                <m:r>
                  <w:rPr>
                    <w:rFonts w:ascii="Cambria Math" w:hAnsi="Cambria Math"/>
                  </w:rPr>
                  <m:t xml:space="preserve">t</m:t>
                </m:r>
              </m:sub>
            </m:sSub>
          </m:num>
          <m:den>
            <m:d>
              <m:dPr>
                <m:begChr m:val="("/>
                <m:endChr m:val=")"/>
              </m:dPr>
              <m:e>
                <m:r>
                  <w:rPr>
                    <w:rFonts w:ascii="Cambria Math" w:hAnsi="Cambria Math"/>
                  </w:rPr>
                  <m:t xml:space="preserve">1</m:t>
                </m:r>
                <m:r>
                  <w:rPr>
                    <w:rFonts w:ascii="Cambria Math" w:hAnsi="Cambria Math"/>
                  </w:rPr>
                  <m:t xml:space="preserve">−</m:t>
                </m:r>
                <m:r>
                  <m:rPr>
                    <m:lit/>
                    <m:nor/>
                  </m:rPr>
                  <w:rPr>
                    <w:rFonts w:ascii="Cambria Math" w:hAnsi="Cambria Math"/>
                  </w:rPr>
                  <m:t xml:space="preserve">RTW</m:t>
                </m:r>
              </m:e>
            </m:d>
            <m:r>
              <w:rPr>
                <w:rFonts w:ascii="Cambria Math" w:hAnsi="Cambria Math"/>
              </w:rPr>
              <m:t xml:space="preserve">⋅</m:t>
            </m:r>
            <m:d>
              <m:dPr>
                <m:begChr m:val="("/>
                <m:endChr m:val=")"/>
              </m:dPr>
              <m:e>
                <m:sSub>
                  <m:e>
                    <m:r>
                      <m:rPr>
                        <m:lit/>
                        <m:nor/>
                      </m:rPr>
                      <w:rPr>
                        <w:rFonts w:ascii="Cambria Math" w:hAnsi="Cambria Math"/>
                      </w:rPr>
                      <m:t xml:space="preserve">YL</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QSCES</m:t>
                    </m:r>
                  </m:e>
                  <m:sub>
                    <m:r>
                      <w:rPr>
                        <w:rFonts w:ascii="Cambria Math" w:hAnsi="Cambria Math"/>
                      </w:rPr>
                      <m:t xml:space="preserve">t</m:t>
                    </m:r>
                  </m:sub>
                </m:sSub>
                <m:sSub>
                  <m:e>
                    <m:r>
                      <m:rPr>
                        <m:lit/>
                        <m:nor/>
                      </m:rPr>
                      <w:rPr>
                        <w:rFonts w:ascii="Cambria Math" w:hAnsi="Cambria Math"/>
                      </w:rPr>
                      <m:t xml:space="preserve">SCW</m:t>
                    </m:r>
                  </m:e>
                  <m:sub>
                    <m:r>
                      <w:rPr>
                        <w:rFonts w:ascii="Cambria Math" w:hAnsi="Cambria Math"/>
                      </w:rPr>
                      <m:t xml:space="preserve">t</m:t>
                    </m:r>
                  </m:sub>
                </m:sSub>
              </m:e>
            </m:d>
          </m:den>
        </m:f>
      </m:oMath>
      <w:r>
        <w:rPr>
          <w:rFonts w:eastAsia="Times New Roman" w:cs="Times New Roman" w:ascii="Times New Roman" w:hAnsi="Times New Roman"/>
          <w:position w:val="-26"/>
          <w:sz w:val="24"/>
          <w:szCs w:val="24"/>
          <w:lang w:val="en-US" w:eastAsia="cs-CZ"/>
        </w:rPr>
        <w:tab/>
        <w:t>(16)</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YL</w:t>
      </w:r>
      <w:r>
        <w:rPr>
          <w:rFonts w:eastAsia="Times New Roman" w:cs="Times New Roman" w:ascii="Times New Roman" w:hAnsi="Times New Roman"/>
          <w:position w:val="-26"/>
          <w:sz w:val="24"/>
          <w:szCs w:val="24"/>
          <w:lang w:eastAsia="cs-CZ"/>
        </w:rPr>
        <w:t xml:space="preserve"> predstavujú kompenzácie zamestnancov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RTW</w:t>
      </w:r>
      <w:r>
        <w:rPr>
          <w:rFonts w:eastAsia="Times New Roman" w:cs="Times New Roman" w:ascii="Times New Roman" w:hAnsi="Times New Roman"/>
          <w:position w:val="-26"/>
          <w:sz w:val="24"/>
          <w:szCs w:val="24"/>
          <w:lang w:eastAsia="cs-CZ"/>
        </w:rPr>
        <w:t xml:space="preserve"> je miera zdanenia práce,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SCW</w:t>
      </w:r>
      <w:r>
        <w:rPr>
          <w:rFonts w:eastAsia="Times New Roman" w:cs="Times New Roman" w:ascii="Times New Roman" w:hAnsi="Times New Roman"/>
          <w:position w:val="-26"/>
          <w:sz w:val="24"/>
          <w:szCs w:val="24"/>
          <w:lang w:eastAsia="cs-CZ"/>
        </w:rPr>
        <w:t xml:space="preserve"> sú sociálne odvody, ktoré sú platené zo mzdy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QSCES</w:t>
      </w:r>
      <w:r>
        <w:rPr>
          <w:rFonts w:eastAsia="Times New Roman" w:cs="Times New Roman" w:ascii="Times New Roman" w:hAnsi="Times New Roman"/>
          <w:position w:val="-26"/>
          <w:sz w:val="24"/>
          <w:szCs w:val="24"/>
          <w:lang w:eastAsia="cs-CZ"/>
        </w:rPr>
        <w:t xml:space="preserve"> je kalibračná konštanta upravujúca podiel odvodov platených zamestnancami.</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Tak ako v našom východiskovom modeli a aj modeli Baumgartnera et al. (2004) je zachytená aj miera náhrady príjmu zamestnancov GRR, a to ako:</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GRR</m:t>
            </m:r>
          </m:e>
          <m:sub>
            <m:r>
              <w:rPr>
                <w:rFonts w:ascii="Cambria Math" w:hAnsi="Cambria Math"/>
              </w:rPr>
              <m:t xml:space="preserve">t</m:t>
            </m:r>
          </m:sub>
        </m:sSub>
        <m:r>
          <w:rPr>
            <w:rFonts w:ascii="Cambria Math" w:hAnsi="Cambria Math"/>
          </w:rPr>
          <m:t xml:space="preserve">=</m:t>
        </m:r>
        <m:f>
          <m:num>
            <m:f>
              <m:num>
                <m:sSub>
                  <m:e>
                    <m:r>
                      <m:rPr>
                        <m:lit/>
                        <m:nor/>
                      </m:rPr>
                      <w:rPr>
                        <w:rFonts w:ascii="Cambria Math" w:hAnsi="Cambria Math"/>
                      </w:rPr>
                      <m:t xml:space="preserve">TRU</m:t>
                    </m:r>
                  </m:e>
                  <m:sub>
                    <m:r>
                      <w:rPr>
                        <w:rFonts w:ascii="Cambria Math" w:hAnsi="Cambria Math"/>
                      </w:rPr>
                      <m:t xml:space="preserve">t</m:t>
                    </m:r>
                  </m:sub>
                </m:sSub>
              </m:num>
              <m:den>
                <m:sSub>
                  <m:e>
                    <m:r>
                      <m:rPr>
                        <m:lit/>
                        <m:nor/>
                      </m:rPr>
                      <w:rPr>
                        <w:rFonts w:ascii="Cambria Math" w:hAnsi="Cambria Math"/>
                      </w:rPr>
                      <m:t xml:space="preserve">LU</m:t>
                    </m:r>
                  </m:e>
                  <m:sub>
                    <m:r>
                      <w:rPr>
                        <w:rFonts w:ascii="Cambria Math" w:hAnsi="Cambria Math"/>
                      </w:rPr>
                      <m:t xml:space="preserve">t</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sSub>
                      <m:e>
                        <m:r>
                          <m:rPr>
                            <m:lit/>
                            <m:nor/>
                          </m:rPr>
                          <w:rPr>
                            <w:rFonts w:ascii="Cambria Math" w:hAnsi="Cambria Math"/>
                          </w:rPr>
                          <m:t xml:space="preserve">LTUR</m:t>
                        </m:r>
                      </m:e>
                      <m:sub>
                        <m:r>
                          <w:rPr>
                            <w:rFonts w:ascii="Cambria Math" w:hAnsi="Cambria Math"/>
                          </w:rPr>
                          <m:t xml:space="preserve">t</m:t>
                        </m:r>
                      </m:sub>
                    </m:sSub>
                  </m:e>
                </m:d>
              </m:den>
            </m:f>
          </m:num>
          <m:den>
            <m:f>
              <m:num>
                <m:sSub>
                  <m:e>
                    <m:r>
                      <m:rPr>
                        <m:lit/>
                        <m:nor/>
                      </m:rPr>
                      <w:rPr>
                        <w:rFonts w:ascii="Cambria Math" w:hAnsi="Cambria Math"/>
                      </w:rPr>
                      <m:t xml:space="preserve">YL</m:t>
                    </m:r>
                  </m:e>
                  <m:sub>
                    <m:r>
                      <w:rPr>
                        <w:rFonts w:ascii="Cambria Math" w:hAnsi="Cambria Math"/>
                      </w:rPr>
                      <m:t xml:space="preserve">t</m:t>
                    </m:r>
                  </m:sub>
                </m:sSub>
              </m:num>
              <m:den>
                <m:sSub>
                  <m:e>
                    <m:r>
                      <m:rPr>
                        <m:lit/>
                        <m:nor/>
                      </m:rPr>
                      <w:rPr>
                        <w:rFonts w:ascii="Cambria Math" w:hAnsi="Cambria Math"/>
                      </w:rPr>
                      <m:t xml:space="preserve">LE</m:t>
                    </m:r>
                  </m:e>
                  <m:sub>
                    <m:r>
                      <w:rPr>
                        <w:rFonts w:ascii="Cambria Math" w:hAnsi="Cambria Math"/>
                      </w:rPr>
                      <m:t xml:space="preserve">t</m:t>
                    </m:r>
                  </m:sub>
                </m:sSub>
              </m:den>
            </m:f>
          </m:den>
        </m:f>
      </m:oMath>
      <w:r>
        <w:rPr>
          <w:rFonts w:eastAsia="Times New Roman" w:cs="Times New Roman" w:ascii="Times New Roman" w:hAnsi="Times New Roman"/>
          <w:position w:val="-54"/>
          <w:sz w:val="24"/>
          <w:szCs w:val="24"/>
          <w:lang w:val="en-US" w:eastAsia="cs-CZ"/>
        </w:rPr>
        <w:tab/>
        <w:tab/>
        <w:tab/>
        <w:t>(17)</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Transfery nezamestnaných v bežných cenách </w:t>
      </w:r>
      <w:r>
        <w:rPr>
          <w:rFonts w:eastAsia="Times New Roman" w:cs="Times New Roman" w:ascii="Times New Roman" w:hAnsi="Times New Roman"/>
          <w:i/>
          <w:position w:val="-26"/>
          <w:sz w:val="24"/>
          <w:szCs w:val="24"/>
          <w:lang w:eastAsia="cs-CZ"/>
        </w:rPr>
        <w:t>TRU</w:t>
      </w:r>
      <w:r>
        <w:rPr>
          <w:rFonts w:eastAsia="Times New Roman" w:cs="Times New Roman" w:ascii="Times New Roman" w:hAnsi="Times New Roman"/>
          <w:position w:val="-26"/>
          <w:sz w:val="24"/>
          <w:szCs w:val="24"/>
          <w:lang w:eastAsia="cs-CZ"/>
        </w:rPr>
        <w:t xml:space="preserve"> sú predelené počtom krátkodobo nezamestnaných (1-</w:t>
      </w:r>
      <w:r>
        <w:rPr>
          <w:rFonts w:eastAsia="Times New Roman" w:cs="Times New Roman" w:ascii="Times New Roman" w:hAnsi="Times New Roman"/>
          <w:i/>
          <w:position w:val="-26"/>
          <w:sz w:val="24"/>
          <w:szCs w:val="24"/>
          <w:lang w:eastAsia="cs-CZ"/>
        </w:rPr>
        <w:t>LTUR</w:t>
      </w:r>
      <w:r>
        <w:rPr>
          <w:rFonts w:eastAsia="Times New Roman" w:cs="Times New Roman" w:ascii="Times New Roman" w:hAnsi="Times New Roman"/>
          <w:position w:val="-26"/>
          <w:sz w:val="24"/>
          <w:szCs w:val="24"/>
          <w:lang w:eastAsia="cs-CZ"/>
        </w:rPr>
        <w:t>)</w:t>
      </w:r>
      <w:r>
        <w:rPr>
          <w:rStyle w:val="FootnoteAnchor"/>
          <w:rFonts w:eastAsia="Times New Roman" w:cs="Times New Roman" w:ascii="Times New Roman" w:hAnsi="Times New Roman"/>
          <w:sz w:val="24"/>
          <w:szCs w:val="24"/>
          <w:lang w:eastAsia="cs-CZ"/>
        </w:rPr>
        <w:footnoteReference w:id="6"/>
      </w:r>
      <w:r>
        <w:rPr>
          <w:rFonts w:eastAsia="Times New Roman" w:cs="Times New Roman" w:ascii="Times New Roman" w:hAnsi="Times New Roman"/>
          <w:position w:val="-26"/>
          <w:sz w:val="24"/>
          <w:szCs w:val="24"/>
          <w:lang w:eastAsia="cs-CZ"/>
        </w:rPr>
        <w:t>, čo je potom predelené podielom kompenzácie zamestnancov v bežných cenách a počtu nezamestnaných.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Miera krátkodobej nezamestnanosti </w:t>
      </w:r>
      <w:r>
        <w:rPr>
          <w:rFonts w:eastAsia="Times New Roman" w:cs="Times New Roman" w:ascii="Times New Roman" w:hAnsi="Times New Roman"/>
          <w:i/>
          <w:position w:val="-26"/>
          <w:sz w:val="24"/>
          <w:szCs w:val="24"/>
          <w:lang w:eastAsia="cs-CZ"/>
        </w:rPr>
        <w:t>STUR</w:t>
      </w:r>
      <w:r>
        <w:rPr>
          <w:rFonts w:eastAsia="Times New Roman" w:cs="Times New Roman" w:ascii="Times New Roman" w:hAnsi="Times New Roman"/>
          <w:position w:val="-26"/>
          <w:sz w:val="24"/>
          <w:szCs w:val="24"/>
          <w:lang w:eastAsia="cs-CZ"/>
        </w:rPr>
        <w:t xml:space="preserve"> je daná ako podiel počtu krátkodobo nezamestnaných na celkovej pracovnej sile v tvare:</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STUR</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LU</m:t>
                </m:r>
              </m:e>
              <m:sub>
                <m:r>
                  <w:rPr>
                    <w:rFonts w:ascii="Cambria Math" w:hAnsi="Cambria Math"/>
                  </w:rPr>
                  <m:t xml:space="preserve">t</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sSub>
                  <m:e>
                    <m:r>
                      <m:rPr>
                        <m:lit/>
                        <m:nor/>
                      </m:rPr>
                      <w:rPr>
                        <w:rFonts w:ascii="Cambria Math" w:hAnsi="Cambria Math"/>
                      </w:rPr>
                      <m:t xml:space="preserve">LTUR</m:t>
                    </m:r>
                  </m:e>
                  <m:sub>
                    <m:r>
                      <w:rPr>
                        <w:rFonts w:ascii="Cambria Math" w:hAnsi="Cambria Math"/>
                      </w:rPr>
                      <m:t xml:space="preserve">t</m:t>
                    </m:r>
                  </m:sub>
                </m:sSub>
              </m:e>
            </m:d>
          </m:num>
          <m:den>
            <m:sSub>
              <m:e>
                <m:r>
                  <m:rPr>
                    <m:lit/>
                    <m:nor/>
                  </m:rPr>
                  <w:rPr>
                    <w:rFonts w:ascii="Cambria Math" w:hAnsi="Cambria Math"/>
                  </w:rPr>
                  <m:t xml:space="preserve">LF</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(18)</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Vyššie spomenuté ukazovatele boli následne v modeli použité na zostrojenie funkcie hodinovej mzdy </w:t>
      </w:r>
      <w:r>
        <w:rPr>
          <w:rFonts w:eastAsia="Times New Roman" w:cs="Times New Roman" w:ascii="Times New Roman" w:hAnsi="Times New Roman"/>
          <w:i/>
          <w:position w:val="-26"/>
          <w:sz w:val="24"/>
          <w:szCs w:val="24"/>
          <w:lang w:eastAsia="cs-CZ"/>
        </w:rPr>
        <w:t>W</w:t>
      </w:r>
      <w:r>
        <w:rPr>
          <w:rFonts w:eastAsia="Times New Roman" w:cs="Times New Roman" w:ascii="Times New Roman" w:hAnsi="Times New Roman"/>
          <w:position w:val="-26"/>
          <w:sz w:val="24"/>
          <w:szCs w:val="24"/>
          <w:lang w:eastAsia="cs-CZ"/>
        </w:rPr>
        <w:t xml:space="preserve"> v tvare:</w:t>
      </w:r>
    </w:p>
    <w:p>
      <w:pPr>
        <w:pStyle w:val="Normal"/>
        <w:spacing w:lineRule="auto" w:line="360"/>
        <w:ind w:left="2832" w:firstLine="708"/>
        <w:jc w:val="both"/>
        <w:rPr>
          <w:rFonts w:ascii="Times New Roman" w:hAnsi="Times New Roman" w:eastAsia="Times New Roman" w:cs="Times New Roman"/>
          <w:sz w:val="24"/>
          <w:szCs w:val="24"/>
          <w:lang w:eastAsia="cs-CZ"/>
        </w:rPr>
      </w:pPr>
      <w:r>
        <w:rPr/>
      </w:r>
      <m:oMath xmlns:m="http://schemas.openxmlformats.org/officeDocument/2006/math">
        <m:eqArr>
          <m:e>
            <m:r>
              <m:rPr>
                <m:lit/>
                <m:nor/>
              </m:rPr>
              <w:rPr>
                <w:rFonts w:ascii="Cambria Math" w:hAnsi="Cambria Math"/>
              </w:rPr>
              <m:t xml:space="preserve">ln</m:t>
            </m:r>
            <m:d>
              <m:dPr>
                <m:begChr m:val="("/>
                <m:endChr m:val=")"/>
              </m:dPr>
              <m:e>
                <m:sSub>
                  <m:e>
                    <m:r>
                      <w:rPr>
                        <w:rFonts w:ascii="Cambria Math" w:hAnsi="Cambria Math"/>
                      </w:rPr>
                      <m:t xml:space="preserve">W</m:t>
                    </m:r>
                  </m:e>
                  <m:sub>
                    <m:r>
                      <w:rPr>
                        <w:rFonts w:ascii="Cambria Math" w:hAnsi="Cambria Math"/>
                      </w:rPr>
                      <m:t xml:space="preserve">t</m:t>
                    </m:r>
                  </m:sub>
                </m:sSub>
              </m:e>
            </m:d>
            <m:r>
              <w:rPr>
                <w:rFonts w:ascii="Cambria Math" w:hAnsi="Cambria Math"/>
              </w:rPr>
              <m:t xml:space="preserve">=</m:t>
            </m:r>
            <m:sSub>
              <m:e>
                <m:r>
                  <w:rPr>
                    <w:rFonts w:ascii="Cambria Math" w:hAnsi="Cambria Math"/>
                  </w:rPr>
                  <m:t xml:space="preserve">β</m:t>
                </m:r>
              </m:e>
              <m:sub>
                <m:r>
                  <w:rPr>
                    <w:rFonts w:ascii="Cambria Math" w:hAnsi="Cambria Math"/>
                  </w:rPr>
                  <m:t xml:space="preserve">0</m:t>
                </m:r>
              </m:sub>
            </m:sSub>
            <m:r>
              <w:rPr>
                <w:rFonts w:ascii="Cambria Math" w:hAnsi="Cambria Math"/>
              </w:rPr>
              <m:t xml:space="preserve">+</m:t>
            </m:r>
            <m:sSub>
              <m:e>
                <m:r>
                  <w:rPr>
                    <w:rFonts w:ascii="Cambria Math" w:hAnsi="Cambria Math"/>
                  </w:rPr>
                  <m:t xml:space="preserve">β</m:t>
                </m:r>
              </m:e>
              <m:sub>
                <m:r>
                  <w:rPr>
                    <w:rFonts w:ascii="Cambria Math" w:hAnsi="Cambria Math"/>
                  </w:rPr>
                  <m:t xml:space="preserve">1</m:t>
                </m:r>
              </m:sub>
            </m:sSub>
            <m:r>
              <m:rPr>
                <m:lit/>
                <m:nor/>
              </m:rPr>
              <w:rPr>
                <w:rFonts w:ascii="Cambria Math" w:hAnsi="Cambria Math"/>
              </w:rPr>
              <m:t xml:space="preserve">ln</m:t>
            </m:r>
            <m:d>
              <m:dPr>
                <m:begChr m:val="("/>
                <m:endChr m:val=")"/>
              </m:dPr>
              <m:e>
                <m:sSub>
                  <m:e>
                    <m:r>
                      <m:rPr>
                        <m:lit/>
                        <m:nor/>
                      </m:rPr>
                      <w:rPr>
                        <w:rFonts w:ascii="Cambria Math" w:hAnsi="Cambria Math"/>
                      </w:rPr>
                      <m:t xml:space="preserve">MPL</m:t>
                    </m:r>
                  </m:e>
                  <m:sub>
                    <m:r>
                      <w:rPr>
                        <w:rFonts w:ascii="Cambria Math" w:hAnsi="Cambria Math"/>
                      </w:rPr>
                      <m:t xml:space="preserve">t</m:t>
                    </m:r>
                  </m:sub>
                </m:sSub>
              </m:e>
            </m:d>
            <m:r>
              <w:rPr>
                <w:rFonts w:ascii="Cambria Math" w:hAnsi="Cambria Math"/>
              </w:rPr>
              <m:t xml:space="preserve">+</m:t>
            </m:r>
            <m:sSub>
              <m:e>
                <m:r>
                  <w:rPr>
                    <w:rFonts w:ascii="Cambria Math" w:hAnsi="Cambria Math"/>
                  </w:rPr>
                  <m:t xml:space="preserve">β</m:t>
                </m:r>
              </m:e>
              <m:sub>
                <m:r>
                  <w:rPr>
                    <w:rFonts w:ascii="Cambria Math" w:hAnsi="Cambria Math"/>
                  </w:rPr>
                  <m:t xml:space="preserve">2</m:t>
                </m:r>
              </m:sub>
            </m:sSub>
            <m:r>
              <m:rPr>
                <m:lit/>
                <m:nor/>
              </m:rPr>
              <w:rPr>
                <w:rFonts w:ascii="Cambria Math" w:hAnsi="Cambria Math"/>
              </w:rPr>
              <m:t xml:space="preserve">ln</m:t>
            </m:r>
            <m:d>
              <m:dPr>
                <m:begChr m:val="("/>
                <m:endChr m:val=")"/>
              </m:dPr>
              <m:e>
                <m:sSub>
                  <m:e>
                    <m:r>
                      <m:rPr>
                        <m:lit/>
                        <m:nor/>
                      </m:rPr>
                      <w:rPr>
                        <w:rFonts w:ascii="Cambria Math" w:hAnsi="Cambria Math"/>
                      </w:rPr>
                      <m:t xml:space="preserve">STUR</m:t>
                    </m:r>
                  </m:e>
                  <m:sub>
                    <m:r>
                      <w:rPr>
                        <w:rFonts w:ascii="Cambria Math" w:hAnsi="Cambria Math"/>
                      </w:rPr>
                      <m:t xml:space="preserve">t</m:t>
                    </m:r>
                  </m:sub>
                </m:sSub>
              </m:e>
            </m:d>
          </m:e>
          <m:e>
            <m:r>
              <w:rPr>
                <w:rFonts w:ascii="Cambria Math" w:hAnsi="Cambria Math"/>
              </w:rPr>
              <m:t xml:space="preserve">+</m:t>
            </m:r>
            <m:sSub>
              <m:e>
                <m:r>
                  <w:rPr>
                    <w:rFonts w:ascii="Cambria Math" w:hAnsi="Cambria Math"/>
                  </w:rPr>
                  <m:t xml:space="preserve">β</m:t>
                </m:r>
              </m:e>
              <m:sub>
                <m:r>
                  <w:rPr>
                    <w:rFonts w:ascii="Cambria Math" w:hAnsi="Cambria Math"/>
                  </w:rPr>
                  <m:t xml:space="preserve">3</m:t>
                </m:r>
              </m:sub>
            </m:sSub>
            <m:r>
              <m:rPr>
                <m:lit/>
                <m:nor/>
              </m:rPr>
              <w:rPr>
                <w:rFonts w:ascii="Cambria Math" w:hAnsi="Cambria Math"/>
              </w:rPr>
              <m:t xml:space="preserve">ln</m:t>
            </m:r>
            <m:d>
              <m:dPr>
                <m:begChr m:val="("/>
                <m:endChr m:val=")"/>
              </m:dPr>
              <m:e>
                <m:sSub>
                  <m:e>
                    <m:r>
                      <m:rPr>
                        <m:lit/>
                        <m:nor/>
                      </m:rPr>
                      <w:rPr>
                        <w:rFonts w:ascii="Cambria Math" w:hAnsi="Cambria Math"/>
                      </w:rPr>
                      <m:t xml:space="preserve">GRR</m:t>
                    </m:r>
                  </m:e>
                  <m:sub>
                    <m:r>
                      <w:rPr>
                        <w:rFonts w:ascii="Cambria Math" w:hAnsi="Cambria Math"/>
                      </w:rPr>
                      <m:t xml:space="preserve">t</m:t>
                    </m:r>
                  </m:sub>
                </m:sSub>
              </m:e>
            </m:d>
            <m:r>
              <w:rPr>
                <w:rFonts w:ascii="Cambria Math" w:hAnsi="Cambria Math"/>
              </w:rPr>
              <m:t xml:space="preserve">+</m:t>
            </m:r>
            <m:sSub>
              <m:e>
                <m:r>
                  <w:rPr>
                    <w:rFonts w:ascii="Cambria Math" w:hAnsi="Cambria Math"/>
                  </w:rPr>
                  <m:t xml:space="preserve">β</m:t>
                </m:r>
              </m:e>
              <m:sub>
                <m:r>
                  <w:rPr>
                    <w:rFonts w:ascii="Cambria Math" w:hAnsi="Cambria Math"/>
                  </w:rPr>
                  <m:t xml:space="preserve">4</m:t>
                </m:r>
              </m:sub>
            </m:sSub>
            <m:r>
              <m:rPr>
                <m:lit/>
                <m:nor/>
              </m:rPr>
              <w:rPr>
                <w:rFonts w:ascii="Cambria Math" w:hAnsi="Cambria Math"/>
              </w:rPr>
              <m:t xml:space="preserve">ln</m:t>
            </m:r>
            <m:d>
              <m:dPr>
                <m:begChr m:val="("/>
                <m:endChr m:val=")"/>
              </m:dPr>
              <m:e>
                <m:sSub>
                  <m:e>
                    <m:r>
                      <m:rPr>
                        <m:lit/>
                        <m:nor/>
                      </m:rPr>
                      <w:rPr>
                        <w:rFonts w:ascii="Cambria Math" w:hAnsi="Cambria Math"/>
                      </w:rPr>
                      <m:t xml:space="preserve">TWED</m:t>
                    </m:r>
                  </m:e>
                  <m:sub>
                    <m:r>
                      <w:rPr>
                        <w:rFonts w:ascii="Cambria Math" w:hAnsi="Cambria Math"/>
                      </w:rPr>
                      <m:t xml:space="preserve">t</m:t>
                    </m:r>
                  </m:sub>
                </m:sSub>
              </m:e>
            </m:d>
          </m:e>
        </m:eqArr>
      </m:oMath>
      <w:r>
        <w:rPr>
          <w:rFonts w:eastAsia="Times New Roman" w:cs="Times New Roman" w:ascii="Times New Roman" w:hAnsi="Times New Roman"/>
          <w:position w:val="-26"/>
          <w:sz w:val="24"/>
          <w:szCs w:val="24"/>
          <w:lang w:val="en-US" w:eastAsia="cs-CZ"/>
        </w:rPr>
        <w:tab/>
        <w:tab/>
        <w:t>(19)</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Model ju zachytáva ako priemernú hodinovú mzdu zamestnanca v stálych cenách roku 2010.</w:t>
      </w:r>
    </w:p>
    <w:p>
      <w:pPr>
        <w:pStyle w:val="Normal"/>
        <w:spacing w:lineRule="auto" w:line="360"/>
        <w:jc w:val="both"/>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Heading2"/>
        <w:rPr>
          <w:rFonts w:ascii="Times New Roman" w:hAnsi="Times New Roman" w:eastAsia="Times New Roman" w:cs="Times New Roman"/>
          <w:b/>
          <w:b/>
          <w:bCs/>
          <w:sz w:val="28"/>
          <w:szCs w:val="28"/>
          <w:lang w:eastAsia="cs-CZ"/>
        </w:rPr>
      </w:pPr>
      <w:r>
        <w:rPr/>
        <w:t>Rozdelenie príjmu</w:t>
      </w:r>
    </w:p>
    <w:p>
      <w:pPr>
        <w:pStyle w:val="Normal"/>
        <w:spacing w:lineRule="auto" w:line="360"/>
        <w:jc w:val="both"/>
        <w:rPr/>
      </w:pPr>
      <w:r>
        <w:rPr>
          <w:rFonts w:eastAsia="Times New Roman" w:cs="Times New Roman" w:ascii="Times New Roman" w:hAnsi="Times New Roman"/>
          <w:position w:val="-26"/>
          <w:sz w:val="24"/>
          <w:szCs w:val="24"/>
          <w:lang w:eastAsia="cs-CZ"/>
        </w:rPr>
        <w:t xml:space="preserve">V tomto bloku modelu je pozornosť venovaná analýze disponibilného príjmu, ktorý vychádza z makroekonomického agregátu HDP. Hlavná pozornosť je sústredená na príjmy a finančnú bilanciu domácností. Všetky reálne premenné sú v modeli upravené na nominálne prostredníctvom deflátora HDP – </w:t>
      </w:r>
      <w:r>
        <w:rPr>
          <w:rFonts w:eastAsia="Times New Roman" w:cs="Times New Roman" w:ascii="Times New Roman" w:hAnsi="Times New Roman"/>
          <w:i/>
          <w:position w:val="-26"/>
          <w:sz w:val="24"/>
          <w:szCs w:val="24"/>
          <w:lang w:eastAsia="cs-CZ"/>
        </w:rPr>
        <w:t>P</w:t>
      </w:r>
      <w:r>
        <w:rPr>
          <w:rFonts w:eastAsia="Times New Roman" w:cs="Times New Roman" w:ascii="Times New Roman" w:hAnsi="Times New Roman"/>
          <w:position w:val="-26"/>
          <w:sz w:val="24"/>
          <w:szCs w:val="24"/>
          <w:lang w:eastAsia="cs-CZ"/>
        </w:rPr>
        <w:t xml:space="preserve">, keďže samotný disponibilný príjem je vyjadrený v bežných cenách. Hlavnou zložkou národného príjmu sú kompenzácie zamestnancov </w:t>
      </w:r>
      <w:r>
        <w:rPr>
          <w:rFonts w:eastAsia="Times New Roman" w:cs="Times New Roman" w:ascii="Times New Roman" w:hAnsi="Times New Roman"/>
          <w:i/>
          <w:position w:val="-26"/>
          <w:sz w:val="24"/>
          <w:szCs w:val="24"/>
          <w:lang w:eastAsia="cs-CZ"/>
        </w:rPr>
        <w:t xml:space="preserve">YL,  </w:t>
      </w:r>
      <w:r>
        <w:rPr>
          <w:rFonts w:eastAsia="Times New Roman" w:cs="Times New Roman" w:ascii="Times New Roman" w:hAnsi="Times New Roman"/>
          <w:position w:val="-26"/>
          <w:sz w:val="24"/>
          <w:szCs w:val="24"/>
          <w:lang w:eastAsia="cs-CZ"/>
        </w:rPr>
        <w:t>ktorá sa počíta takto:</w:t>
      </w:r>
    </w:p>
    <w:p>
      <w:pPr>
        <w:pStyle w:val="Normal"/>
        <w:spacing w:lineRule="auto" w:line="360"/>
        <w:ind w:left="3540" w:hanging="0"/>
        <w:jc w:val="both"/>
        <w:rPr>
          <w:rFonts w:ascii="Times New Roman" w:hAnsi="Times New Roman" w:eastAsia="Times New Roman" w:cs="Times New Roman"/>
          <w:sz w:val="24"/>
          <w:szCs w:val="24"/>
          <w:lang w:eastAsia="cs-CZ"/>
        </w:rPr>
      </w:pPr>
      <w:r>
        <w:rPr/>
      </w:r>
      <m:oMath xmlns:m="http://schemas.openxmlformats.org/officeDocument/2006/math">
        <m:sSub>
          <m:e>
            <m:r>
              <m:rPr>
                <m:lit/>
                <m:nor/>
              </m:rPr>
              <w:rPr>
                <w:rFonts w:ascii="Cambria Math" w:hAnsi="Cambria Math"/>
              </w:rPr>
              <m:t xml:space="preserve">YL</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W</m:t>
            </m:r>
          </m:e>
          <m:sub>
            <m:r>
              <w:rPr>
                <w:rFonts w:ascii="Cambria Math" w:hAnsi="Cambria Math"/>
              </w:rPr>
              <m:t xml:space="preserve">t</m:t>
            </m:r>
          </m:sub>
        </m:sSub>
        <m:sSub>
          <m:e>
            <m:r>
              <m:rPr>
                <m:lit/>
                <m:nor/>
              </m:rPr>
              <w:rPr>
                <w:rFonts w:ascii="Cambria Math" w:hAnsi="Cambria Math"/>
              </w:rPr>
              <m:t xml:space="preserve">LD</m:t>
            </m:r>
          </m:e>
          <m:sub>
            <m:r>
              <w:rPr>
                <w:rFonts w:ascii="Cambria Math" w:hAnsi="Cambria Math"/>
              </w:rPr>
              <m:t xml:space="preserve">t</m:t>
            </m:r>
          </m:sub>
        </m:sSub>
        <m:sSub>
          <m:e>
            <m:r>
              <w:rPr>
                <w:rFonts w:ascii="Cambria Math" w:hAnsi="Cambria Math"/>
              </w:rPr>
              <m:t xml:space="preserve">P</m:t>
            </m:r>
          </m:e>
          <m:sub>
            <m:r>
              <w:rPr>
                <w:rFonts w:ascii="Cambria Math" w:hAnsi="Cambria Math"/>
              </w:rPr>
              <m:t xml:space="preserve">t</m:t>
            </m:r>
          </m:sub>
        </m:sSub>
        <m:sSub>
          <m:e>
            <m:r>
              <m:rPr>
                <m:lit/>
                <m:nor/>
              </m:rPr>
              <w:rPr>
                <w:rFonts w:ascii="Cambria Math" w:hAnsi="Cambria Math"/>
              </w:rPr>
              <m:t xml:space="preserve">CONW</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YLIM</m:t>
            </m:r>
          </m:e>
          <m:sub>
            <m:r>
              <w:rPr>
                <w:rFonts w:ascii="Cambria Math" w:hAnsi="Cambria Math"/>
              </w:rPr>
              <m:t xml:space="preserve">t</m:t>
            </m:r>
          </m:sub>
        </m:sSub>
      </m:oMath>
      <w:r>
        <w:rPr>
          <w:rFonts w:cs="Times New Roman" w:ascii="Times New Roman" w:hAnsi="Times New Roman"/>
          <w:sz w:val="24"/>
          <w:szCs w:val="24"/>
        </w:rPr>
        <w:tab/>
        <w:tab/>
        <w:tab/>
        <w:t>(20)</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Rovnica je rozšírená oproti modelu Baumgartnera et al. (2004) o hodnotu kalibračnej konštanty, ktorá zachytáva prepočet zo „super hrubej“ mzdy a o väzbu na inkluzívny trh v podobe YLIM, čo je príjem z práce v rámci inkluzívneho trhu v bežných cenách. V prípade, ak inkluzívny trh nie je súčasťou modelu, tak táto premenná sa rovná nule. Zisk podnikov sa v modeli zachytil prostredníctvom funkcie:</w:t>
      </w:r>
    </w:p>
    <w:p>
      <w:pPr>
        <w:pStyle w:val="Normal"/>
        <w:spacing w:lineRule="auto" w:line="360"/>
        <w:ind w:left="2832"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GOS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TY</m:t>
            </m:r>
          </m:e>
          <m:sub>
            <m:r>
              <w:rPr>
                <w:rFonts w:ascii="Cambria Math" w:hAnsi="Cambria Math"/>
              </w:rPr>
              <m:t xml:space="preserve">t</m:t>
            </m:r>
          </m:sub>
        </m:sSub>
        <m:sSub>
          <m:e>
            <m:r>
              <w:rPr>
                <w:rFonts w:ascii="Cambria Math" w:hAnsi="Cambria Math"/>
              </w:rPr>
              <m:t xml:space="preserve">P</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YL</m:t>
            </m:r>
          </m:e>
          <m:sub>
            <m:r>
              <w:rPr>
                <w:rFonts w:ascii="Cambria Math" w:hAnsi="Cambria Math"/>
              </w:rPr>
              <m:t xml:space="preserve">t</m:t>
            </m:r>
          </m:sub>
        </m:sSub>
        <m:r>
          <w:rPr>
            <w:rFonts w:ascii="Cambria Math" w:hAnsi="Cambria Math"/>
          </w:rPr>
          <m:t xml:space="preserve">−</m:t>
        </m:r>
        <m:d>
          <m:dPr>
            <m:begChr m:val="("/>
            <m:endChr m:val=")"/>
          </m:dPr>
          <m:e>
            <m:sSub>
              <m:e>
                <m:r>
                  <m:rPr>
                    <m:lit/>
                    <m:nor/>
                  </m:rPr>
                  <w:rPr>
                    <w:rFonts w:ascii="Cambria Math" w:hAnsi="Cambria Math"/>
                  </w:rPr>
                  <m:t xml:space="preserve">TIND</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SUB</m:t>
                </m:r>
              </m:e>
              <m:sub>
                <m:r>
                  <w:rPr>
                    <w:rFonts w:ascii="Cambria Math" w:hAnsi="Cambria Math"/>
                  </w:rPr>
                  <m:t xml:space="preserve">t</m:t>
                </m:r>
              </m:sub>
            </m:sSub>
          </m:e>
        </m:d>
      </m:oMath>
      <w:r>
        <w:rPr>
          <w:rFonts w:eastAsia="Times New Roman" w:cs="Times New Roman" w:ascii="Times New Roman" w:hAnsi="Times New Roman"/>
          <w:position w:val="-10"/>
          <w:sz w:val="24"/>
          <w:szCs w:val="24"/>
          <w:lang w:val="en-US" w:eastAsia="cs-CZ"/>
        </w:rPr>
        <w:tab/>
        <w:tab/>
        <w:t>(21)</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GOS</w:t>
      </w:r>
      <w:r>
        <w:rPr>
          <w:rFonts w:eastAsia="Times New Roman" w:cs="Times New Roman" w:ascii="Times New Roman" w:hAnsi="Times New Roman"/>
          <w:position w:val="-10"/>
          <w:sz w:val="24"/>
          <w:szCs w:val="24"/>
          <w:lang w:eastAsia="cs-CZ"/>
        </w:rPr>
        <w:t xml:space="preserve"> je hrubý prevádzkový prebytok v celom hospodárstve vyjadrený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TY</w:t>
      </w:r>
      <w:r>
        <w:rPr>
          <w:rFonts w:eastAsia="Times New Roman" w:cs="Times New Roman" w:ascii="Times New Roman" w:hAnsi="Times New Roman"/>
          <w:position w:val="-10"/>
          <w:sz w:val="24"/>
          <w:szCs w:val="24"/>
          <w:lang w:eastAsia="cs-CZ"/>
        </w:rPr>
        <w:t xml:space="preserve"> je hodnota celkového HDP v stálych cenách, tak ako sme už vyššie uviedli, prenásobený deflátorom HDP označený </w:t>
      </w:r>
      <w:r>
        <w:rPr>
          <w:rFonts w:eastAsia="Times New Roman" w:cs="Times New Roman" w:ascii="Times New Roman" w:hAnsi="Times New Roman"/>
          <w:i/>
          <w:position w:val="-10"/>
          <w:sz w:val="24"/>
          <w:szCs w:val="24"/>
          <w:lang w:eastAsia="cs-CZ"/>
        </w:rPr>
        <w:t>P</w:t>
      </w:r>
      <w:r>
        <w:rPr>
          <w:rFonts w:eastAsia="Times New Roman" w:cs="Times New Roman" w:ascii="Times New Roman" w:hAnsi="Times New Roman"/>
          <w:position w:val="-10"/>
          <w:sz w:val="24"/>
          <w:szCs w:val="24"/>
          <w:lang w:eastAsia="cs-CZ"/>
        </w:rPr>
        <w:t>,</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TIND</w:t>
      </w:r>
      <w:r>
        <w:rPr>
          <w:rFonts w:eastAsia="Times New Roman" w:cs="Times New Roman" w:ascii="Times New Roman" w:hAnsi="Times New Roman"/>
          <w:position w:val="-10"/>
          <w:sz w:val="24"/>
          <w:szCs w:val="24"/>
          <w:lang w:eastAsia="cs-CZ"/>
        </w:rPr>
        <w:t xml:space="preserve"> celkový objem nepriamych daní,</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SUB</w:t>
      </w:r>
      <w:r>
        <w:rPr>
          <w:rFonts w:eastAsia="Times New Roman" w:cs="Times New Roman" w:ascii="Times New Roman" w:hAnsi="Times New Roman"/>
          <w:position w:val="-10"/>
          <w:sz w:val="24"/>
          <w:szCs w:val="24"/>
          <w:lang w:eastAsia="cs-CZ"/>
        </w:rPr>
        <w:t xml:space="preserve"> sú subvencie.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Takto vyjadrená rovnica sleduje dva ciele, a to v súlade s agregovaným cash flow firiem je možné ich celkové cash flow rozdeliť domácnostiam a druhým cieľom je, že samotné investičné rozhodnutia firiem sú na základe tohto cash flow. Následne model zachytáva výpočet čistého prevádzkového prebytku </w:t>
      </w:r>
      <w:r>
        <w:rPr>
          <w:rFonts w:eastAsia="Times New Roman" w:cs="Times New Roman" w:ascii="Times New Roman" w:hAnsi="Times New Roman"/>
          <w:i/>
          <w:position w:val="-10"/>
          <w:sz w:val="24"/>
          <w:szCs w:val="24"/>
          <w:lang w:eastAsia="cs-CZ"/>
        </w:rPr>
        <w:t>NOS</w:t>
      </w:r>
      <w:r>
        <w:rPr>
          <w:rFonts w:eastAsia="Times New Roman" w:cs="Times New Roman" w:ascii="Times New Roman" w:hAnsi="Times New Roman"/>
          <w:position w:val="-10"/>
          <w:sz w:val="24"/>
          <w:szCs w:val="24"/>
          <w:lang w:eastAsia="cs-CZ"/>
        </w:rPr>
        <w:t xml:space="preserve"> odpočítaním spotreby fixného kapitálu </w:t>
      </w:r>
      <w:r>
        <w:rPr>
          <w:rFonts w:eastAsia="Times New Roman" w:cs="Times New Roman" w:ascii="Times New Roman" w:hAnsi="Times New Roman"/>
          <w:i/>
          <w:position w:val="-10"/>
          <w:sz w:val="24"/>
          <w:szCs w:val="24"/>
          <w:lang w:eastAsia="cs-CZ"/>
        </w:rPr>
        <w:t>DPN</w:t>
      </w:r>
      <w:r>
        <w:rPr>
          <w:rFonts w:eastAsia="Times New Roman" w:cs="Times New Roman" w:ascii="Times New Roman" w:hAnsi="Times New Roman"/>
          <w:position w:val="-10"/>
          <w:sz w:val="24"/>
          <w:szCs w:val="24"/>
          <w:lang w:eastAsia="cs-CZ"/>
        </w:rPr>
        <w:t xml:space="preserve"> v tvare:</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NOS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GOS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DPN</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(22)</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Ďalší krok modelu spočíva v napočítaní agregovanej</w:t>
      </w:r>
      <w:r>
        <w:rPr>
          <w:rStyle w:val="FootnoteAnchor"/>
          <w:rFonts w:eastAsia="Times New Roman" w:cs="Times New Roman" w:ascii="Times New Roman" w:hAnsi="Times New Roman"/>
          <w:sz w:val="24"/>
          <w:szCs w:val="24"/>
          <w:lang w:eastAsia="cs-CZ"/>
        </w:rPr>
        <w:footnoteReference w:id="7"/>
      </w:r>
      <w:r>
        <w:rPr>
          <w:rFonts w:eastAsia="Times New Roman" w:cs="Times New Roman" w:ascii="Times New Roman" w:hAnsi="Times New Roman"/>
          <w:position w:val="-10"/>
          <w:sz w:val="24"/>
          <w:szCs w:val="24"/>
          <w:lang w:eastAsia="cs-CZ"/>
        </w:rPr>
        <w:t xml:space="preserve"> premennej disponibilného príjmu domácností </w:t>
      </w:r>
      <w:r>
        <w:rPr>
          <w:rFonts w:eastAsia="Times New Roman" w:cs="Times New Roman" w:ascii="Times New Roman" w:hAnsi="Times New Roman"/>
          <w:i/>
          <w:position w:val="-10"/>
          <w:sz w:val="24"/>
          <w:szCs w:val="24"/>
          <w:lang w:eastAsia="cs-CZ"/>
        </w:rPr>
        <w:t>YDN</w:t>
      </w:r>
      <w:r>
        <w:rPr>
          <w:rFonts w:eastAsia="Times New Roman" w:cs="Times New Roman" w:ascii="Times New Roman" w:hAnsi="Times New Roman"/>
          <w:position w:val="-10"/>
          <w:sz w:val="24"/>
          <w:szCs w:val="24"/>
          <w:lang w:eastAsia="cs-CZ"/>
        </w:rPr>
        <w:t xml:space="preserve"> v nasledujúcom tvare:</w:t>
      </w:r>
    </w:p>
    <w:p>
      <w:pPr>
        <w:pStyle w:val="Normal"/>
        <w:spacing w:lineRule="auto" w:line="360"/>
        <w:ind w:left="2832" w:firstLine="708"/>
        <w:jc w:val="both"/>
        <w:rPr>
          <w:rFonts w:ascii="Times New Roman" w:hAnsi="Times New Roman" w:eastAsia="Times New Roman" w:cs="Times New Roman"/>
          <w:sz w:val="24"/>
          <w:szCs w:val="24"/>
          <w:lang w:val="en-US" w:eastAsia="cs-CZ"/>
        </w:rPr>
      </w:pPr>
      <w:r>
        <w:rPr/>
      </w:r>
      <m:oMath xmlns:m="http://schemas.openxmlformats.org/officeDocument/2006/math">
        <m:eqArr>
          <m:e>
            <m:sSub>
              <m:e>
                <m:r>
                  <m:rPr>
                    <m:lit/>
                    <m:nor/>
                  </m:rPr>
                  <w:rPr>
                    <w:rFonts w:ascii="Cambria Math" w:hAnsi="Cambria Math"/>
                  </w:rPr>
                  <m:t xml:space="preserve">YDN</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HYL</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HYS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HYI</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HTRM</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HSC</m:t>
                </m:r>
              </m:e>
              <m:sub>
                <m:r>
                  <w:rPr>
                    <w:rFonts w:ascii="Cambria Math" w:hAnsi="Cambria Math"/>
                  </w:rPr>
                  <m:t xml:space="preserve">t</m:t>
                </m:r>
              </m:sub>
            </m:sSub>
          </m:e>
          <m:e>
            <m:r>
              <w:rPr>
                <w:rFonts w:ascii="Cambria Math" w:hAnsi="Cambria Math"/>
              </w:rPr>
              <m:t xml:space="preserve">−</m:t>
            </m:r>
            <m:sSub>
              <m:e>
                <m:r>
                  <m:rPr>
                    <m:lit/>
                    <m:nor/>
                  </m:rPr>
                  <w:rPr>
                    <w:rFonts w:ascii="Cambria Math" w:hAnsi="Cambria Math"/>
                  </w:rPr>
                  <m:t xml:space="preserve">HTDIR</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HTRO</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HSP</m:t>
                </m:r>
              </m:e>
              <m:sub>
                <m:r>
                  <w:rPr>
                    <w:rFonts w:ascii="Cambria Math" w:hAnsi="Cambria Math"/>
                  </w:rPr>
                  <m:t xml:space="preserve">t</m:t>
                </m:r>
              </m:sub>
            </m:sSub>
          </m:e>
        </m:eqArr>
      </m:oMath>
      <w:r>
        <w:rPr>
          <w:rFonts w:eastAsia="Times New Roman" w:cs="Times New Roman" w:ascii="Times New Roman" w:hAnsi="Times New Roman"/>
          <w:position w:val="-26"/>
          <w:sz w:val="24"/>
          <w:szCs w:val="24"/>
          <w:lang w:val="en-US" w:eastAsia="cs-CZ"/>
        </w:rPr>
        <w:tab/>
        <w:t>(23)</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kde:</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HYL</w:t>
      </w:r>
      <w:r>
        <w:rPr>
          <w:rFonts w:cs="Times New Roman" w:ascii="Times New Roman" w:hAnsi="Times New Roman"/>
          <w:sz w:val="24"/>
          <w:szCs w:val="24"/>
        </w:rPr>
        <w:t xml:space="preserve"> je príjmom domácností z práce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HYS</w:t>
      </w:r>
      <w:r>
        <w:rPr>
          <w:rFonts w:cs="Times New Roman" w:ascii="Times New Roman" w:hAnsi="Times New Roman"/>
          <w:sz w:val="24"/>
          <w:szCs w:val="24"/>
        </w:rPr>
        <w:t xml:space="preserve"> je príjem domácností z podnikania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HYI</w:t>
      </w:r>
      <w:r>
        <w:rPr>
          <w:rFonts w:cs="Times New Roman" w:ascii="Times New Roman" w:hAnsi="Times New Roman"/>
          <w:sz w:val="24"/>
          <w:szCs w:val="24"/>
        </w:rPr>
        <w:t xml:space="preserve"> je príjem domácností z úrokov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HTRM</w:t>
      </w:r>
      <w:r>
        <w:rPr>
          <w:rFonts w:cs="Times New Roman" w:ascii="Times New Roman" w:hAnsi="Times New Roman"/>
          <w:sz w:val="24"/>
          <w:szCs w:val="24"/>
        </w:rPr>
        <w:t xml:space="preserve"> je príjem domácností z celkových transferov sociálneho systému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HSC</w:t>
      </w:r>
      <w:r>
        <w:rPr>
          <w:rFonts w:cs="Times New Roman" w:ascii="Times New Roman" w:hAnsi="Times New Roman"/>
          <w:sz w:val="24"/>
          <w:szCs w:val="24"/>
        </w:rPr>
        <w:t xml:space="preserve"> predstavujú objem odvodov zaplatených do sociálneho systému domácnosťami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HTDIR</w:t>
      </w:r>
      <w:r>
        <w:rPr>
          <w:rFonts w:cs="Times New Roman" w:ascii="Times New Roman" w:hAnsi="Times New Roman"/>
          <w:sz w:val="24"/>
          <w:szCs w:val="24"/>
        </w:rPr>
        <w:t xml:space="preserve"> je objem priamych daní zaplatený domácnosťami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HTRO</w:t>
      </w:r>
      <w:r>
        <w:rPr>
          <w:rFonts w:cs="Times New Roman" w:ascii="Times New Roman" w:hAnsi="Times New Roman"/>
          <w:sz w:val="24"/>
          <w:szCs w:val="24"/>
        </w:rPr>
        <w:t xml:space="preserve"> predstavuje ostatné transfery od/k domácnostiam a slúži pre opísanie nezahrnutých položiek disponibilného príjmu,</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HSP</w:t>
      </w:r>
      <w:r>
        <w:rPr>
          <w:rFonts w:cs="Times New Roman" w:ascii="Times New Roman" w:hAnsi="Times New Roman"/>
          <w:sz w:val="24"/>
          <w:szCs w:val="24"/>
        </w:rPr>
        <w:t>, predstavuje dôchodky domácností z druhého dôchodkového piliera.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Následne bol disponibilný dôchodok domácností </w:t>
      </w:r>
      <w:r>
        <w:rPr>
          <w:rFonts w:cs="Times New Roman" w:ascii="Times New Roman" w:hAnsi="Times New Roman"/>
          <w:i/>
          <w:sz w:val="24"/>
          <w:szCs w:val="24"/>
        </w:rPr>
        <w:t>YD</w:t>
      </w:r>
      <w:r>
        <w:rPr>
          <w:rFonts w:cs="Times New Roman" w:ascii="Times New Roman" w:hAnsi="Times New Roman"/>
          <w:sz w:val="24"/>
          <w:szCs w:val="24"/>
        </w:rPr>
        <w:t xml:space="preserve"> prepočítaný na stále ceny prostredníctvom vzťahu:</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YD</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YDN</m:t>
                </m:r>
              </m:e>
              <m:sub>
                <m:r>
                  <w:rPr>
                    <w:rFonts w:ascii="Cambria Math" w:hAnsi="Cambria Math"/>
                  </w:rPr>
                  <m:t xml:space="preserve">t</m:t>
                </m:r>
              </m:sub>
            </m:sSub>
          </m:num>
          <m:den>
            <m:sSub>
              <m:e>
                <m:r>
                  <w:rPr>
                    <w:rFonts w:ascii="Cambria Math" w:hAnsi="Cambria Math"/>
                  </w:rPr>
                  <m:t xml:space="preserve">P</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ab/>
        <w:tab/>
        <w:t>(24)</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ktorým je zachytený disponibilný príjem domácností v stálych cenách, vo východiskovom modeli v cenách roku 2010.</w:t>
      </w:r>
    </w:p>
    <w:p>
      <w:pPr>
        <w:pStyle w:val="Normal"/>
        <w:spacing w:lineRule="auto" w:line="360"/>
        <w:jc w:val="both"/>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Heading2"/>
        <w:rPr>
          <w:rFonts w:ascii="Times New Roman" w:hAnsi="Times New Roman" w:eastAsia="Times New Roman" w:cs="Times New Roman"/>
          <w:b/>
          <w:b/>
          <w:bCs/>
          <w:sz w:val="28"/>
          <w:szCs w:val="28"/>
          <w:lang w:eastAsia="cs-CZ"/>
        </w:rPr>
      </w:pPr>
      <w:r>
        <w:rPr/>
        <w:t>Verejný sektor</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Blok verejného sektora zachytáva hlavné časti výdavkov a príjmov vlády. Vládny sektor zo strany príjmov zachytáva príjmy, ktoré pochádzajú z výberu daní, príspevkov na sociálne zabezpečenie a ostatných príjmov. Celkové príjmy vlády sú modelované prostredníctvom vzťahu:</w:t>
      </w:r>
    </w:p>
    <w:p>
      <w:pPr>
        <w:pStyle w:val="Normal"/>
        <w:spacing w:lineRule="auto" w:line="360"/>
        <w:jc w:val="both"/>
        <w:rPr>
          <w:rFonts w:ascii="Times New Roman" w:hAnsi="Times New Roman" w:eastAsia="Times New Roman" w:cs="Times New Roman"/>
          <w:sz w:val="24"/>
          <w:szCs w:val="24"/>
          <w:lang w:val="en-US" w:eastAsia="cs-CZ"/>
        </w:rPr>
      </w:pPr>
      <w:r>
        <w:rPr>
          <w:rFonts w:cs="Times New Roman" w:ascii="Times New Roman" w:hAnsi="Times New Roman"/>
          <w:position w:val="-26"/>
          <w:sz w:val="24"/>
          <w:szCs w:val="24"/>
        </w:rPr>
        <w:tab/>
      </w:r>
      <w:r>
        <w:rPr>
          <w:rFonts w:cs="Times New Roman" w:ascii="Times New Roman" w:hAnsi="Times New Roman"/>
          <w:sz w:val="24"/>
          <w:szCs w:val="24"/>
        </w:rPr>
        <w:tab/>
        <w:tab/>
        <w:tab/>
        <w:tab/>
      </w:r>
      <w:r>
        <w:rPr/>
      </w:r>
      <m:oMath xmlns:m="http://schemas.openxmlformats.org/officeDocument/2006/math">
        <m:sSub>
          <m:e>
            <m:r>
              <m:rPr>
                <m:lit/>
                <m:nor/>
              </m:rPr>
              <w:rPr>
                <w:rFonts w:ascii="Cambria Math" w:hAnsi="Cambria Math"/>
              </w:rPr>
              <m:t xml:space="preserve">GR</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TIND</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TDIR</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GRS</m:t>
                </m:r>
              </m:e>
              <m:sub>
                <m:r>
                  <w:rPr>
                    <w:rFonts w:ascii="Cambria Math" w:hAnsi="Cambria Math"/>
                  </w:rPr>
                  <m:t xml:space="preserve">t</m:t>
                </m:r>
              </m:sub>
            </m:sSub>
          </m:num>
          <m:den>
            <m:r>
              <w:rPr>
                <w:rFonts w:ascii="Cambria Math" w:hAnsi="Cambria Math"/>
              </w:rPr>
              <m:t xml:space="preserve">1</m:t>
            </m:r>
            <m:r>
              <w:rPr>
                <w:rFonts w:ascii="Cambria Math" w:hAnsi="Cambria Math"/>
              </w:rPr>
              <m:t xml:space="preserve">−</m:t>
            </m:r>
            <m:sSub>
              <m:e>
                <m:r>
                  <m:rPr>
                    <m:lit/>
                    <m:nor/>
                  </m:rPr>
                  <w:rPr>
                    <w:rFonts w:ascii="Cambria Math" w:hAnsi="Cambria Math"/>
                  </w:rPr>
                  <m:t xml:space="preserve">QGRO</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ab/>
        <w:t>(25)</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GR</w:t>
      </w:r>
      <w:r>
        <w:rPr>
          <w:rFonts w:eastAsia="Times New Roman" w:cs="Times New Roman" w:ascii="Times New Roman" w:hAnsi="Times New Roman"/>
          <w:position w:val="-26"/>
          <w:sz w:val="24"/>
          <w:szCs w:val="24"/>
          <w:lang w:eastAsia="cs-CZ"/>
        </w:rPr>
        <w:t xml:space="preserve"> predstavuje celkový objem vládnych príjmov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TIND</w:t>
      </w:r>
      <w:r>
        <w:rPr>
          <w:rFonts w:eastAsia="Times New Roman" w:cs="Times New Roman" w:ascii="Times New Roman" w:hAnsi="Times New Roman"/>
          <w:position w:val="-26"/>
          <w:sz w:val="24"/>
          <w:szCs w:val="24"/>
          <w:lang w:eastAsia="cs-CZ"/>
        </w:rPr>
        <w:t xml:space="preserve"> je celkový objem nepriamych daní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TDIR</w:t>
      </w:r>
      <w:r>
        <w:rPr>
          <w:rFonts w:eastAsia="Times New Roman" w:cs="Times New Roman" w:ascii="Times New Roman" w:hAnsi="Times New Roman"/>
          <w:position w:val="-26"/>
          <w:sz w:val="24"/>
          <w:szCs w:val="24"/>
          <w:lang w:eastAsia="cs-CZ"/>
        </w:rPr>
        <w:t xml:space="preserve"> je celkový objem priamych daní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GRS</w:t>
      </w:r>
      <w:r>
        <w:rPr>
          <w:rFonts w:eastAsia="Times New Roman" w:cs="Times New Roman" w:ascii="Times New Roman" w:hAnsi="Times New Roman"/>
          <w:position w:val="-26"/>
          <w:sz w:val="24"/>
          <w:szCs w:val="24"/>
          <w:lang w:eastAsia="cs-CZ"/>
        </w:rPr>
        <w:t xml:space="preserve"> predstavuje objem príjmov vlády zo sociálneho systému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QGRO</w:t>
      </w:r>
      <w:r>
        <w:rPr>
          <w:rFonts w:eastAsia="Times New Roman" w:cs="Times New Roman" w:ascii="Times New Roman" w:hAnsi="Times New Roman"/>
          <w:position w:val="-26"/>
          <w:sz w:val="24"/>
          <w:szCs w:val="24"/>
          <w:lang w:eastAsia="cs-CZ"/>
        </w:rPr>
        <w:t xml:space="preserve"> je podiel ostatných prímov vlády na celkových príjmoch vlády.</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Celkové výdavky vlády v bežných cenách </w:t>
      </w:r>
      <w:r>
        <w:rPr>
          <w:rFonts w:eastAsia="Times New Roman" w:cs="Times New Roman" w:ascii="Times New Roman" w:hAnsi="Times New Roman"/>
          <w:i/>
          <w:position w:val="-26"/>
          <w:sz w:val="24"/>
          <w:szCs w:val="24"/>
          <w:lang w:eastAsia="cs-CZ"/>
        </w:rPr>
        <w:t>GE</w:t>
      </w:r>
      <w:r>
        <w:rPr>
          <w:rFonts w:eastAsia="Times New Roman" w:cs="Times New Roman" w:ascii="Times New Roman" w:hAnsi="Times New Roman"/>
          <w:position w:val="-26"/>
          <w:sz w:val="24"/>
          <w:szCs w:val="24"/>
          <w:lang w:eastAsia="cs-CZ"/>
        </w:rPr>
        <w:t xml:space="preserve"> sú následne modelované ako:</w:t>
      </w:r>
    </w:p>
    <w:p>
      <w:pPr>
        <w:pStyle w:val="Normal"/>
        <w:spacing w:lineRule="auto" w:line="360"/>
        <w:ind w:left="2832" w:firstLine="708"/>
        <w:jc w:val="both"/>
        <w:rPr>
          <w:rFonts w:ascii="Times New Roman" w:hAnsi="Times New Roman" w:eastAsia="Times New Roman" w:cs="Times New Roman"/>
          <w:sz w:val="24"/>
          <w:szCs w:val="24"/>
          <w:lang w:eastAsia="cs-CZ"/>
        </w:rPr>
      </w:pPr>
      <w:r>
        <w:rPr/>
      </w:r>
      <m:oMath xmlns:m="http://schemas.openxmlformats.org/officeDocument/2006/math">
        <m:eqArr>
          <m:e>
            <m:sSub>
              <m:e>
                <m:r>
                  <m:rPr>
                    <m:lit/>
                    <m:nor/>
                  </m:rPr>
                  <w:rPr>
                    <w:rFonts w:ascii="Cambria Math" w:hAnsi="Cambria Math"/>
                  </w:rPr>
                  <m:t xml:space="preserve">GE</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SE</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SUB</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HTRO</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GEI</m:t>
                    </m:r>
                  </m:e>
                  <m:sub>
                    <m:r>
                      <w:rPr>
                        <w:rFonts w:ascii="Cambria Math" w:hAnsi="Cambria Math"/>
                      </w:rPr>
                      <m:t xml:space="preserve">t</m:t>
                    </m:r>
                  </m:sub>
                </m:sSub>
              </m:num>
              <m:den>
                <m:r>
                  <w:rPr>
                    <w:rFonts w:ascii="Cambria Math" w:hAnsi="Cambria Math"/>
                  </w:rPr>
                  <m:t xml:space="preserve">1</m:t>
                </m:r>
                <m:r>
                  <w:rPr>
                    <w:rFonts w:ascii="Cambria Math" w:hAnsi="Cambria Math"/>
                  </w:rPr>
                  <m:t xml:space="preserve">−</m:t>
                </m:r>
                <m:sSub>
                  <m:e>
                    <m:r>
                      <m:rPr>
                        <m:lit/>
                        <m:nor/>
                      </m:rPr>
                      <w:rPr>
                        <w:rFonts w:ascii="Cambria Math" w:hAnsi="Cambria Math"/>
                      </w:rPr>
                      <m:t xml:space="preserve">QPR</m:t>
                    </m:r>
                  </m:e>
                  <m:sub>
                    <m:r>
                      <w:rPr>
                        <w:rFonts w:ascii="Cambria Math" w:hAnsi="Cambria Math"/>
                      </w:rPr>
                      <m:t xml:space="preserve">t</m:t>
                    </m:r>
                  </m:sub>
                </m:sSub>
              </m:den>
            </m:f>
          </m:e>
          <m:e>
            <m:f>
              <m:num>
                <m:r>
                  <w:rPr>
                    <w:rFonts w:ascii="Cambria Math" w:hAnsi="Cambria Math"/>
                  </w:rPr>
                  <m:t xml:space="preserve">+</m:t>
                </m:r>
                <m:sSub>
                  <m:e>
                    <m:r>
                      <m:rPr>
                        <m:lit/>
                        <m:nor/>
                      </m:rPr>
                      <w:rPr>
                        <w:rFonts w:ascii="Cambria Math" w:hAnsi="Cambria Math"/>
                      </w:rPr>
                      <m:t xml:space="preserve">GC</m:t>
                    </m:r>
                  </m:e>
                  <m:sub>
                    <m:r>
                      <w:rPr>
                        <w:rFonts w:ascii="Cambria Math" w:hAnsi="Cambria Math"/>
                      </w:rPr>
                      <m:t xml:space="preserve">t</m:t>
                    </m:r>
                  </m:sub>
                </m:sSub>
                <m:sSub>
                  <m:e>
                    <m:r>
                      <m:rPr>
                        <m:lit/>
                        <m:nor/>
                      </m:rPr>
                      <w:rPr>
                        <w:rFonts w:ascii="Cambria Math" w:hAnsi="Cambria Math"/>
                      </w:rPr>
                      <m:t xml:space="preserve">PGC</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GIM</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GEEDN</m:t>
                    </m:r>
                  </m:e>
                  <m:sub>
                    <m:r>
                      <w:rPr>
                        <w:rFonts w:ascii="Cambria Math" w:hAnsi="Cambria Math"/>
                      </w:rPr>
                      <m:t xml:space="preserve">t</m:t>
                    </m:r>
                  </m:sub>
                </m:sSub>
              </m:num>
              <m:den>
                <m:r>
                  <w:rPr>
                    <w:rFonts w:ascii="Cambria Math" w:hAnsi="Cambria Math"/>
                  </w:rPr>
                  <m:t xml:space="preserve">1</m:t>
                </m:r>
                <m:r>
                  <w:rPr>
                    <w:rFonts w:ascii="Cambria Math" w:hAnsi="Cambria Math"/>
                  </w:rPr>
                  <m:t xml:space="preserve">−</m:t>
                </m:r>
                <m:sSub>
                  <m:e>
                    <m:r>
                      <m:rPr>
                        <m:lit/>
                        <m:nor/>
                      </m:rPr>
                      <w:rPr>
                        <w:rFonts w:ascii="Cambria Math" w:hAnsi="Cambria Math"/>
                      </w:rPr>
                      <m:t xml:space="preserve">QPR</m:t>
                    </m:r>
                  </m:e>
                  <m:sub>
                    <m:r>
                      <w:rPr>
                        <w:rFonts w:ascii="Cambria Math" w:hAnsi="Cambria Math"/>
                      </w:rPr>
                      <m:t xml:space="preserve">t</m:t>
                    </m:r>
                  </m:sub>
                </m:sSub>
              </m:den>
            </m:f>
          </m:e>
        </m:eqArr>
      </m:oMath>
      <w:r>
        <w:rPr>
          <w:rFonts w:eastAsia="Times New Roman" w:cs="Times New Roman" w:ascii="Times New Roman" w:hAnsi="Times New Roman"/>
          <w:position w:val="-56"/>
          <w:sz w:val="24"/>
          <w:szCs w:val="24"/>
          <w:lang w:val="en-US" w:eastAsia="cs-CZ"/>
        </w:rPr>
        <w:tab/>
        <w:tab/>
        <w:tab/>
        <w:t>(26)</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vo vzťahu sú:</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SE</w:t>
      </w:r>
      <w:r>
        <w:rPr>
          <w:rFonts w:cs="Times New Roman" w:ascii="Times New Roman" w:hAnsi="Times New Roman"/>
          <w:sz w:val="24"/>
          <w:szCs w:val="24"/>
        </w:rPr>
        <w:t xml:space="preserve"> označené celkové výdavky na dôchodkový systém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HTRO</w:t>
      </w:r>
      <w:r>
        <w:rPr>
          <w:rFonts w:cs="Times New Roman" w:ascii="Times New Roman" w:hAnsi="Times New Roman"/>
          <w:sz w:val="24"/>
          <w:szCs w:val="24"/>
        </w:rPr>
        <w:t xml:space="preserve"> sú ostatné transfery domácnostiam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QPR</w:t>
      </w:r>
      <w:r>
        <w:rPr>
          <w:rFonts w:cs="Times New Roman" w:ascii="Times New Roman" w:hAnsi="Times New Roman"/>
          <w:sz w:val="24"/>
          <w:szCs w:val="24"/>
        </w:rPr>
        <w:t xml:space="preserve"> predstavuje kalibračnú konštantu, prostredníctvom ktorej sú modelované ostatné výdavky vlády,</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GEI</w:t>
      </w:r>
      <w:r>
        <w:rPr>
          <w:rFonts w:cs="Times New Roman" w:ascii="Times New Roman" w:hAnsi="Times New Roman"/>
          <w:sz w:val="24"/>
          <w:szCs w:val="24"/>
        </w:rPr>
        <w:t xml:space="preserve"> sú výdavky vlády na úroky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GCPGC</w:t>
      </w:r>
      <w:r>
        <w:rPr>
          <w:rStyle w:val="FootnoteAnchor"/>
          <w:rFonts w:cs="Times New Roman" w:ascii="Times New Roman" w:hAnsi="Times New Roman"/>
          <w:sz w:val="24"/>
          <w:szCs w:val="24"/>
        </w:rPr>
        <w:footnoteReference w:id="8"/>
      </w:r>
      <w:r>
        <w:rPr>
          <w:rFonts w:cs="Times New Roman" w:ascii="Times New Roman" w:hAnsi="Times New Roman"/>
          <w:sz w:val="24"/>
          <w:szCs w:val="24"/>
        </w:rPr>
        <w:t xml:space="preserve"> je spotreba vlády,</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PGC</w:t>
      </w:r>
      <w:r>
        <w:rPr>
          <w:rFonts w:cs="Times New Roman" w:ascii="Times New Roman" w:hAnsi="Times New Roman"/>
          <w:sz w:val="24"/>
          <w:szCs w:val="24"/>
        </w:rPr>
        <w:t xml:space="preserve"> je deflátor vládnej spotreby,</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GIM</w:t>
      </w:r>
      <w:r>
        <w:rPr>
          <w:rFonts w:cs="Times New Roman" w:ascii="Times New Roman" w:hAnsi="Times New Roman"/>
          <w:sz w:val="24"/>
          <w:szCs w:val="24"/>
        </w:rPr>
        <w:t xml:space="preserve"> sú celkové výdavky vlády na inkluzívny trh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GEEDN</w:t>
      </w:r>
      <w:r>
        <w:rPr>
          <w:rFonts w:cs="Times New Roman" w:ascii="Times New Roman" w:hAnsi="Times New Roman"/>
          <w:sz w:val="24"/>
          <w:szCs w:val="24"/>
        </w:rPr>
        <w:t xml:space="preserve"> sú hrubé výdavky na vzdelávanie v bežných cenných.</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Rakúsky model podľa Baumgartnera et al. (2004) sledoval základný cieľ, ktorý je daný vzťahom:</w:t>
      </w:r>
    </w:p>
    <w:p>
      <w:pPr>
        <w:pStyle w:val="Normal"/>
        <w:spacing w:lineRule="auto" w:line="360"/>
        <w:ind w:left="4248" w:hanging="0"/>
        <w:jc w:val="both"/>
        <w:rPr>
          <w:rFonts w:ascii="Times New Roman" w:hAnsi="Times New Roman" w:cs="Times New Roman"/>
          <w:sz w:val="24"/>
          <w:szCs w:val="24"/>
        </w:rPr>
      </w:pPr>
      <w:r>
        <w:rPr/>
      </w:r>
      <m:oMath xmlns:m="http://schemas.openxmlformats.org/officeDocument/2006/math">
        <m:sSub>
          <m:e>
            <m:r>
              <m:rPr>
                <m:lit/>
                <m:nor/>
              </m:rPr>
              <w:rPr>
                <w:rFonts w:ascii="Cambria Math" w:hAnsi="Cambria Math"/>
              </w:rPr>
              <m:t xml:space="preserve">GE</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GR</m:t>
            </m:r>
          </m:e>
          <m:sub>
            <m:r>
              <w:rPr>
                <w:rFonts w:ascii="Cambria Math" w:hAnsi="Cambria Math"/>
              </w:rPr>
              <m:t xml:space="preserve">t</m:t>
            </m:r>
          </m:sub>
        </m:sSub>
      </m:oMath>
      <w:r>
        <w:rPr>
          <w:rFonts w:cs="Times New Roman" w:ascii="Times New Roman" w:hAnsi="Times New Roman"/>
          <w:sz w:val="24"/>
          <w:szCs w:val="24"/>
        </w:rPr>
        <w:tab/>
        <w:tab/>
        <w:tab/>
        <w:tab/>
        <w:tab/>
        <w:t>(27)</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kde celkové výdavky vlády </w:t>
      </w:r>
      <w:r>
        <w:rPr>
          <w:rFonts w:cs="Times New Roman" w:ascii="Times New Roman" w:hAnsi="Times New Roman"/>
          <w:i/>
          <w:sz w:val="24"/>
          <w:szCs w:val="24"/>
        </w:rPr>
        <w:t>GE</w:t>
      </w:r>
      <w:r>
        <w:rPr>
          <w:rFonts w:cs="Times New Roman" w:ascii="Times New Roman" w:hAnsi="Times New Roman"/>
          <w:sz w:val="24"/>
          <w:szCs w:val="24"/>
        </w:rPr>
        <w:t xml:space="preserve"> sa rovnajú celkovým príjmom vlády </w:t>
      </w:r>
      <w:r>
        <w:rPr>
          <w:rFonts w:cs="Times New Roman" w:ascii="Times New Roman" w:hAnsi="Times New Roman"/>
          <w:i/>
          <w:sz w:val="24"/>
          <w:szCs w:val="24"/>
        </w:rPr>
        <w:t>GR</w:t>
      </w:r>
      <w:r>
        <w:rPr>
          <w:rFonts w:cs="Times New Roman" w:ascii="Times New Roman" w:hAnsi="Times New Roman"/>
          <w:sz w:val="24"/>
          <w:szCs w:val="24"/>
        </w:rPr>
        <w:t xml:space="preserve">. V našom východiskovom modeli však bola realizovaná zmena a pripúšťa sa prebytok, respektíve deficit štátneho rozpočtu v bežných cenách označený </w:t>
      </w:r>
      <w:r>
        <w:rPr>
          <w:rFonts w:cs="Times New Roman" w:ascii="Times New Roman" w:hAnsi="Times New Roman"/>
          <w:i/>
          <w:sz w:val="24"/>
          <w:szCs w:val="24"/>
        </w:rPr>
        <w:t>GDS</w:t>
      </w:r>
      <w:r>
        <w:rPr>
          <w:rFonts w:cs="Times New Roman" w:ascii="Times New Roman" w:hAnsi="Times New Roman"/>
          <w:sz w:val="24"/>
          <w:szCs w:val="24"/>
        </w:rPr>
        <w:t>. Pričom tento ukazovateľ je zachytený v modeli nasledovne:</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GDS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GR</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GE</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(28)</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Následne je v modeli vyčíslený vládny dlh v podobe:</w:t>
      </w:r>
    </w:p>
    <w:p>
      <w:pPr>
        <w:pStyle w:val="Normal"/>
        <w:spacing w:lineRule="auto" w:line="360"/>
        <w:ind w:left="2832"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GD</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GD</m:t>
            </m:r>
          </m:e>
          <m:sub>
            <m:r>
              <w:rPr>
                <w:rFonts w:ascii="Cambria Math" w:hAnsi="Cambria Math"/>
              </w:rPr>
              <m:t xml:space="preserve">t</m:t>
            </m:r>
            <m:r>
              <w:rPr>
                <w:rFonts w:ascii="Cambria Math" w:hAnsi="Cambria Math"/>
              </w:rPr>
              <m:t xml:space="preserve">−</m:t>
            </m:r>
            <m:r>
              <w:rPr>
                <w:rFonts w:ascii="Cambria Math" w:hAnsi="Cambria Math"/>
              </w:rPr>
              <m:t xml:space="preserve">1</m:t>
            </m:r>
          </m:sub>
        </m:sSub>
        <m:r>
          <w:rPr>
            <w:rFonts w:ascii="Cambria Math" w:hAnsi="Cambria Math"/>
          </w:rPr>
          <m:t xml:space="preserve">−</m:t>
        </m:r>
        <m:sSub>
          <m:e>
            <m:r>
              <m:rPr>
                <m:lit/>
                <m:nor/>
              </m:rPr>
              <w:rPr>
                <w:rFonts w:ascii="Cambria Math" w:hAnsi="Cambria Math"/>
              </w:rPr>
              <m:t xml:space="preserve">GDS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CONGD</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(29)</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GD</w:t>
      </w:r>
      <w:r>
        <w:rPr>
          <w:rFonts w:eastAsia="Times New Roman" w:cs="Times New Roman" w:ascii="Times New Roman" w:hAnsi="Times New Roman"/>
          <w:position w:val="-10"/>
          <w:sz w:val="24"/>
          <w:szCs w:val="24"/>
          <w:lang w:eastAsia="cs-CZ"/>
        </w:rPr>
        <w:t xml:space="preserve"> je veľkosť vládneho dlhu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CONGD</w:t>
      </w:r>
      <w:r>
        <w:rPr>
          <w:rFonts w:eastAsia="Times New Roman" w:cs="Times New Roman" w:ascii="Times New Roman" w:hAnsi="Times New Roman"/>
          <w:position w:val="-10"/>
          <w:sz w:val="24"/>
          <w:szCs w:val="24"/>
          <w:lang w:eastAsia="cs-CZ"/>
        </w:rPr>
        <w:t xml:space="preserve"> je kalibračná konštanta, ktorá zabezpečuje, že historické hodnoty vládneho dlhu sú opísané čo najpresnejšie.</w:t>
      </w:r>
    </w:p>
    <w:p>
      <w:pPr>
        <w:pStyle w:val="Normal"/>
        <w:spacing w:lineRule="auto" w:line="360"/>
        <w:jc w:val="both"/>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Heading2"/>
        <w:rPr>
          <w:rFonts w:ascii="Times New Roman" w:hAnsi="Times New Roman" w:eastAsia="Times New Roman" w:cs="Times New Roman"/>
          <w:b/>
          <w:b/>
          <w:bCs/>
          <w:sz w:val="28"/>
          <w:szCs w:val="28"/>
          <w:lang w:eastAsia="cs-CZ"/>
        </w:rPr>
      </w:pPr>
      <w:r>
        <w:rPr/>
        <w:t>Sociálny systém</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Dôležitú úlohu v oblasti sociálneho systému zohráva demografický vývoj. Pre túto časť modelu by z dlhodobého hľadiska mala platiť podmienka vybilancovaného rozpočtu aj vzhľadom na skutočnosť, že jeho jednotlivé časti môžu zaznamenávať a fungovať s deficitom. Systém sociálneho zabezpečenia je v modeli veľmi podrobne rozpracovaný a rozčlenený. Môžeme ho však rozdeliť na dve hlavné časti, a to na výdavkovú a príjmovú časť.</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Výdavková časť je modelovaná na základe vzťahu celkových sociálnych výdavkov </w:t>
      </w:r>
      <w:r>
        <w:rPr>
          <w:rFonts w:eastAsia="Times New Roman" w:cs="Times New Roman" w:ascii="Times New Roman" w:hAnsi="Times New Roman"/>
          <w:i/>
          <w:position w:val="-10"/>
          <w:sz w:val="24"/>
          <w:szCs w:val="24"/>
          <w:lang w:eastAsia="cs-CZ"/>
        </w:rPr>
        <w:t>SE</w:t>
      </w:r>
      <w:r>
        <w:rPr>
          <w:rFonts w:eastAsia="Times New Roman" w:cs="Times New Roman" w:ascii="Times New Roman" w:hAnsi="Times New Roman"/>
          <w:position w:val="-10"/>
          <w:sz w:val="24"/>
          <w:szCs w:val="24"/>
          <w:lang w:eastAsia="cs-CZ"/>
        </w:rPr>
        <w:t xml:space="preserve"> v tvare:</w:t>
      </w:r>
    </w:p>
    <w:p>
      <w:pPr>
        <w:pStyle w:val="Normal"/>
        <w:spacing w:lineRule="auto" w:line="360"/>
        <w:ind w:left="2832"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SE</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STR</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SEAD</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SEO</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NTH</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(30)</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STR</w:t>
      </w:r>
      <w:r>
        <w:rPr>
          <w:rFonts w:eastAsia="Times New Roman" w:cs="Times New Roman" w:ascii="Times New Roman" w:hAnsi="Times New Roman"/>
          <w:position w:val="-10"/>
          <w:sz w:val="24"/>
          <w:szCs w:val="24"/>
          <w:lang w:eastAsia="cs-CZ"/>
        </w:rPr>
        <w:t xml:space="preserve"> sú celkové transfery zo sociálneho systému občanom v bežných cenách. Hlavnou zložkou, ktorá je v rámci </w:t>
      </w:r>
      <w:r>
        <w:rPr>
          <w:rFonts w:eastAsia="Times New Roman" w:cs="Times New Roman" w:ascii="Times New Roman" w:hAnsi="Times New Roman"/>
          <w:i/>
          <w:position w:val="-10"/>
          <w:sz w:val="24"/>
          <w:szCs w:val="24"/>
          <w:lang w:eastAsia="cs-CZ"/>
        </w:rPr>
        <w:t>STR</w:t>
      </w:r>
      <w:r>
        <w:rPr>
          <w:rFonts w:eastAsia="Times New Roman" w:cs="Times New Roman" w:ascii="Times New Roman" w:hAnsi="Times New Roman"/>
          <w:position w:val="-10"/>
          <w:sz w:val="24"/>
          <w:szCs w:val="24"/>
          <w:lang w:eastAsia="cs-CZ"/>
        </w:rPr>
        <w:t xml:space="preserve"> obsiahnutá, je hodnota celkových transferov v nezamestnanosti (vo východiskovom modeli označená ako </w:t>
      </w:r>
      <w:r>
        <w:rPr>
          <w:rFonts w:eastAsia="Times New Roman" w:cs="Times New Roman" w:ascii="Times New Roman" w:hAnsi="Times New Roman"/>
          <w:i/>
          <w:position w:val="-10"/>
          <w:sz w:val="24"/>
          <w:szCs w:val="24"/>
          <w:lang w:eastAsia="cs-CZ"/>
        </w:rPr>
        <w:t>TRU</w:t>
      </w:r>
      <w:r>
        <w:rPr>
          <w:rFonts w:eastAsia="Times New Roman" w:cs="Times New Roman" w:ascii="Times New Roman" w:hAnsi="Times New Roman"/>
          <w:position w:val="-10"/>
          <w:sz w:val="24"/>
          <w:szCs w:val="24"/>
          <w:lang w:eastAsia="cs-CZ"/>
        </w:rPr>
        <w:t xml:space="preserve">), objem dôchodkov vyplatených zo štátneho dôchodkového piliera v bežných cenách (vo východiskovom modeli označená ako </w:t>
      </w:r>
      <w:r>
        <w:rPr>
          <w:rFonts w:eastAsia="Times New Roman" w:cs="Times New Roman" w:ascii="Times New Roman" w:hAnsi="Times New Roman"/>
          <w:i/>
          <w:position w:val="-10"/>
          <w:sz w:val="24"/>
          <w:szCs w:val="24"/>
          <w:lang w:eastAsia="cs-CZ"/>
        </w:rPr>
        <w:t>TRP</w:t>
      </w:r>
      <w:r>
        <w:rPr>
          <w:rFonts w:eastAsia="Times New Roman" w:cs="Times New Roman" w:ascii="Times New Roman" w:hAnsi="Times New Roman"/>
          <w:position w:val="-10"/>
          <w:sz w:val="24"/>
          <w:szCs w:val="24"/>
          <w:lang w:eastAsia="cs-CZ"/>
        </w:rPr>
        <w:t xml:space="preserve">), objem invalidných dôchodkov v bežných cenách (vo východiskovom modeli označená ako </w:t>
      </w:r>
      <w:r>
        <w:rPr>
          <w:rFonts w:eastAsia="Times New Roman" w:cs="Times New Roman" w:ascii="Times New Roman" w:hAnsi="Times New Roman"/>
          <w:i/>
          <w:position w:val="-10"/>
          <w:sz w:val="24"/>
          <w:szCs w:val="24"/>
          <w:lang w:eastAsia="cs-CZ"/>
        </w:rPr>
        <w:t>TRI</w:t>
      </w:r>
      <w:r>
        <w:rPr>
          <w:rFonts w:eastAsia="Times New Roman" w:cs="Times New Roman" w:ascii="Times New Roman" w:hAnsi="Times New Roman"/>
          <w:position w:val="-10"/>
          <w:sz w:val="24"/>
          <w:szCs w:val="24"/>
          <w:lang w:eastAsia="cs-CZ"/>
        </w:rPr>
        <w:t xml:space="preserve">), celkový objem nemocenských dávok v bežných cenách (vo východiskovom modeli označená ako </w:t>
      </w:r>
      <w:r>
        <w:rPr>
          <w:rFonts w:eastAsia="Times New Roman" w:cs="Times New Roman" w:ascii="Times New Roman" w:hAnsi="Times New Roman"/>
          <w:i/>
          <w:position w:val="-10"/>
          <w:sz w:val="24"/>
          <w:szCs w:val="24"/>
          <w:lang w:eastAsia="cs-CZ"/>
        </w:rPr>
        <w:t>TRH</w:t>
      </w:r>
      <w:r>
        <w:rPr>
          <w:rFonts w:eastAsia="Times New Roman" w:cs="Times New Roman" w:ascii="Times New Roman" w:hAnsi="Times New Roman"/>
          <w:position w:val="-10"/>
          <w:sz w:val="24"/>
          <w:szCs w:val="24"/>
          <w:lang w:eastAsia="cs-CZ"/>
        </w:rPr>
        <w:t xml:space="preserve">), rovnako táto premenná zahŕňa aj informáciu o vdovských a vdoveckých dávkach do sociálneho systému (vo východiskovom modeli označená ako </w:t>
      </w:r>
      <w:r>
        <w:rPr>
          <w:rFonts w:eastAsia="Times New Roman" w:cs="Times New Roman" w:ascii="Times New Roman" w:hAnsi="Times New Roman"/>
          <w:i/>
          <w:position w:val="-10"/>
          <w:sz w:val="24"/>
          <w:szCs w:val="24"/>
          <w:lang w:eastAsia="cs-CZ"/>
        </w:rPr>
        <w:t>TRW</w:t>
      </w:r>
      <w:r>
        <w:rPr>
          <w:rFonts w:eastAsia="Times New Roman" w:cs="Times New Roman" w:ascii="Times New Roman" w:hAnsi="Times New Roman"/>
          <w:position w:val="-10"/>
          <w:sz w:val="24"/>
          <w:szCs w:val="24"/>
          <w:lang w:eastAsia="cs-CZ"/>
        </w:rPr>
        <w:t xml:space="preserve">), a celkové dávky, ktoré sú určené na bývanie a sociálne vylúčenie (vo východiskovom modeli označená ako </w:t>
      </w:r>
      <w:r>
        <w:rPr>
          <w:rFonts w:eastAsia="Times New Roman" w:cs="Times New Roman" w:ascii="Times New Roman" w:hAnsi="Times New Roman"/>
          <w:i/>
          <w:position w:val="-10"/>
          <w:sz w:val="24"/>
          <w:szCs w:val="24"/>
          <w:lang w:eastAsia="cs-CZ"/>
        </w:rPr>
        <w:t>TRL</w:t>
      </w:r>
      <w:r>
        <w:rPr>
          <w:rFonts w:eastAsia="Times New Roman" w:cs="Times New Roman" w:ascii="Times New Roman" w:hAnsi="Times New Roman"/>
          <w:position w:val="-10"/>
          <w:sz w:val="24"/>
          <w:szCs w:val="24"/>
          <w:lang w:eastAsia="cs-CZ"/>
        </w:rPr>
        <w:t xml:space="preserve">), poslednou identitou </w:t>
      </w:r>
      <w:r>
        <w:rPr>
          <w:rFonts w:eastAsia="Times New Roman" w:cs="Times New Roman" w:ascii="Times New Roman" w:hAnsi="Times New Roman"/>
          <w:i/>
          <w:position w:val="-10"/>
          <w:sz w:val="24"/>
          <w:szCs w:val="24"/>
          <w:lang w:eastAsia="cs-CZ"/>
        </w:rPr>
        <w:t>STR</w:t>
      </w:r>
      <w:r>
        <w:rPr>
          <w:rFonts w:eastAsia="Times New Roman" w:cs="Times New Roman" w:ascii="Times New Roman" w:hAnsi="Times New Roman"/>
          <w:position w:val="-10"/>
          <w:sz w:val="24"/>
          <w:szCs w:val="24"/>
          <w:lang w:eastAsia="cs-CZ"/>
        </w:rPr>
        <w:t xml:space="preserve"> je celkovo vyplatené rodinné dávky v bežných cenách (vo východiskovom modeli označená ako </w:t>
      </w:r>
      <w:r>
        <w:rPr>
          <w:rFonts w:eastAsia="Times New Roman" w:cs="Times New Roman" w:ascii="Times New Roman" w:hAnsi="Times New Roman"/>
          <w:i/>
          <w:position w:val="-10"/>
          <w:sz w:val="24"/>
          <w:szCs w:val="24"/>
          <w:lang w:eastAsia="cs-CZ"/>
        </w:rPr>
        <w:t>TRF</w:t>
      </w:r>
      <w:r>
        <w:rPr>
          <w:rFonts w:eastAsia="Times New Roman" w:cs="Times New Roman" w:ascii="Times New Roman" w:hAnsi="Times New Roman"/>
          <w:position w:val="-10"/>
          <w:sz w:val="24"/>
          <w:szCs w:val="24"/>
          <w:lang w:eastAsia="cs-CZ"/>
        </w:rPr>
        <w:t>),</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SEAD</w:t>
      </w:r>
      <w:r>
        <w:rPr>
          <w:rFonts w:eastAsia="Times New Roman" w:cs="Times New Roman" w:ascii="Times New Roman" w:hAnsi="Times New Roman"/>
          <w:position w:val="-10"/>
          <w:sz w:val="24"/>
          <w:szCs w:val="24"/>
          <w:lang w:eastAsia="cs-CZ"/>
        </w:rPr>
        <w:t xml:space="preserve"> zohľadňuje sociálne výdavky súvisiace s administratívou sociálneho systému odhadnuté na základe sociálnych transferov,</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SEO</w:t>
      </w:r>
      <w:r>
        <w:rPr>
          <w:rFonts w:eastAsia="Times New Roman" w:cs="Times New Roman" w:ascii="Times New Roman" w:hAnsi="Times New Roman"/>
          <w:position w:val="-10"/>
          <w:sz w:val="24"/>
          <w:szCs w:val="24"/>
          <w:lang w:eastAsia="cs-CZ"/>
        </w:rPr>
        <w:t xml:space="preserve"> zahŕňa ostatné výdavky sociálneho systému,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NTH</w:t>
      </w:r>
      <w:r>
        <w:rPr>
          <w:rFonts w:eastAsia="Times New Roman" w:cs="Times New Roman" w:ascii="Times New Roman" w:hAnsi="Times New Roman"/>
          <w:position w:val="-10"/>
          <w:sz w:val="24"/>
          <w:szCs w:val="24"/>
          <w:lang w:eastAsia="cs-CZ"/>
        </w:rPr>
        <w:t xml:space="preserve"> sú výdavky zdravotného systému, ktoré boli poskytnuté ako naturálne transfery v rámci zdravotnej starostlivosti, resp. zdravotného poistenia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Príjmová časť sociálneho systému zachytáva hlavne príjmy, ktoré sú naviazané na mzdy prostredníctvom identity </w:t>
      </w:r>
      <w:r>
        <w:rPr>
          <w:rFonts w:eastAsia="Times New Roman" w:cs="Times New Roman" w:ascii="Times New Roman" w:hAnsi="Times New Roman"/>
          <w:i/>
          <w:position w:val="-10"/>
          <w:sz w:val="24"/>
          <w:szCs w:val="24"/>
          <w:lang w:eastAsia="cs-CZ"/>
        </w:rPr>
        <w:t>SCW</w:t>
      </w:r>
      <w:r>
        <w:rPr>
          <w:rFonts w:eastAsia="Times New Roman" w:cs="Times New Roman" w:ascii="Times New Roman" w:hAnsi="Times New Roman"/>
          <w:position w:val="-10"/>
          <w:sz w:val="24"/>
          <w:szCs w:val="24"/>
          <w:lang w:eastAsia="cs-CZ"/>
        </w:rPr>
        <w:t xml:space="preserve">, ktorá modeluje celkové odvody do sociálneho systému zo mzdy v bežných cenách. Prostredníctvom identity </w:t>
      </w:r>
      <w:r>
        <w:rPr>
          <w:rFonts w:eastAsia="Times New Roman" w:cs="Times New Roman" w:ascii="Times New Roman" w:hAnsi="Times New Roman"/>
          <w:i/>
          <w:position w:val="-10"/>
          <w:sz w:val="24"/>
          <w:szCs w:val="24"/>
          <w:lang w:eastAsia="cs-CZ"/>
        </w:rPr>
        <w:t>SCS</w:t>
      </w:r>
      <w:r>
        <w:rPr>
          <w:rFonts w:eastAsia="Times New Roman" w:cs="Times New Roman" w:ascii="Times New Roman" w:hAnsi="Times New Roman"/>
          <w:position w:val="-10"/>
          <w:sz w:val="24"/>
          <w:szCs w:val="24"/>
          <w:lang w:eastAsia="cs-CZ"/>
        </w:rPr>
        <w:t xml:space="preserve">, ktorou sú modelované príjmy do sociálneho systému od podnikateľov a aj </w:t>
      </w:r>
      <w:r>
        <w:rPr>
          <w:rFonts w:eastAsia="Times New Roman" w:cs="Times New Roman" w:ascii="Times New Roman" w:hAnsi="Times New Roman"/>
          <w:i/>
          <w:position w:val="-10"/>
          <w:sz w:val="24"/>
          <w:szCs w:val="24"/>
          <w:lang w:eastAsia="cs-CZ"/>
        </w:rPr>
        <w:t>SCG,</w:t>
      </w:r>
      <w:r>
        <w:rPr>
          <w:rFonts w:eastAsia="Times New Roman" w:cs="Times New Roman" w:ascii="Times New Roman" w:hAnsi="Times New Roman"/>
          <w:position w:val="-10"/>
          <w:sz w:val="24"/>
          <w:szCs w:val="24"/>
          <w:lang w:eastAsia="cs-CZ"/>
        </w:rPr>
        <w:t xml:space="preserve"> čo sú príjmy do sociálneho systému získané od vlády v bežných cenách. Potom celkové príjmy sociálneho systému </w:t>
      </w:r>
      <w:r>
        <w:rPr>
          <w:rFonts w:eastAsia="Times New Roman" w:cs="Times New Roman" w:ascii="Times New Roman" w:hAnsi="Times New Roman"/>
          <w:i/>
          <w:position w:val="-10"/>
          <w:sz w:val="24"/>
          <w:szCs w:val="24"/>
          <w:lang w:eastAsia="cs-CZ"/>
        </w:rPr>
        <w:t>SC</w:t>
      </w:r>
      <w:r>
        <w:rPr>
          <w:rFonts w:eastAsia="Times New Roman" w:cs="Times New Roman" w:ascii="Times New Roman" w:hAnsi="Times New Roman"/>
          <w:position w:val="-10"/>
          <w:sz w:val="24"/>
          <w:szCs w:val="24"/>
          <w:lang w:eastAsia="cs-CZ"/>
        </w:rPr>
        <w:t xml:space="preserve"> je možné vyjadriť nasledovným vzťahom:</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eastAsia="cs-CZ"/>
        </w:rPr>
        <w:tab/>
        <w:tab/>
        <w:tab/>
        <w:tab/>
        <w:tab/>
      </w:r>
      <w:r>
        <w:rPr/>
      </w:r>
      <m:oMath xmlns:m="http://schemas.openxmlformats.org/officeDocument/2006/math">
        <m:sSub>
          <m:e>
            <m:r>
              <m:rPr>
                <m:lit/>
                <m:nor/>
              </m:rPr>
              <w:rPr>
                <w:rFonts w:ascii="Cambria Math" w:hAnsi="Cambria Math"/>
              </w:rPr>
              <m:t xml:space="preserve">SC</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SCW</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SCS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SCG</m:t>
                </m:r>
              </m:e>
              <m:sub>
                <m:r>
                  <w:rPr>
                    <w:rFonts w:ascii="Cambria Math" w:hAnsi="Cambria Math"/>
                  </w:rPr>
                  <m:t xml:space="preserve">t</m:t>
                </m:r>
              </m:sub>
            </m:sSub>
          </m:num>
          <m:den>
            <m:r>
              <w:rPr>
                <w:rFonts w:ascii="Cambria Math" w:hAnsi="Cambria Math"/>
              </w:rPr>
              <m:t xml:space="preserve">1</m:t>
            </m:r>
            <m:r>
              <w:rPr>
                <w:rFonts w:ascii="Cambria Math" w:hAnsi="Cambria Math"/>
              </w:rPr>
              <m:t xml:space="preserve">−</m:t>
            </m:r>
            <m:sSub>
              <m:e>
                <m:r>
                  <m:rPr>
                    <m:lit/>
                    <m:nor/>
                  </m:rPr>
                  <w:rPr>
                    <w:rFonts w:ascii="Cambria Math" w:hAnsi="Cambria Math"/>
                  </w:rPr>
                  <m:t xml:space="preserve">QSCOR</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ab/>
        <w:t>(31)</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ktorý okrem už vyššie spomenutých premenných obsahuje aj konštantou podielu ostatných príjmov sociálneho systému na celkových príjmoch sociálneho systému </w:t>
      </w:r>
      <w:r>
        <w:rPr>
          <w:rFonts w:eastAsia="Times New Roman" w:cs="Times New Roman" w:ascii="Times New Roman" w:hAnsi="Times New Roman"/>
          <w:i/>
          <w:position w:val="-26"/>
          <w:sz w:val="24"/>
          <w:szCs w:val="24"/>
          <w:lang w:eastAsia="cs-CZ"/>
        </w:rPr>
        <w:t>QSCOR</w:t>
      </w:r>
      <w:r>
        <w:rPr>
          <w:rFonts w:eastAsia="Times New Roman" w:cs="Times New Roman" w:ascii="Times New Roman" w:hAnsi="Times New Roman"/>
          <w:position w:val="-26"/>
          <w:sz w:val="24"/>
          <w:szCs w:val="24"/>
          <w:lang w:eastAsia="cs-CZ"/>
        </w:rPr>
        <w:t>.</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Popisovaný východiskový model zachytáva aj príjmy priebežného dôchodkového piliera v bežných cenách </w:t>
      </w:r>
      <w:r>
        <w:rPr>
          <w:rFonts w:eastAsia="Times New Roman" w:cs="Times New Roman" w:ascii="Times New Roman" w:hAnsi="Times New Roman"/>
          <w:i/>
          <w:position w:val="-26"/>
          <w:sz w:val="24"/>
          <w:szCs w:val="24"/>
          <w:lang w:eastAsia="cs-CZ"/>
        </w:rPr>
        <w:t>SCSI</w:t>
      </w:r>
      <w:r>
        <w:rPr>
          <w:rFonts w:eastAsia="Times New Roman" w:cs="Times New Roman" w:ascii="Times New Roman" w:hAnsi="Times New Roman"/>
          <w:position w:val="-26"/>
          <w:sz w:val="24"/>
          <w:szCs w:val="24"/>
          <w:lang w:eastAsia="cs-CZ"/>
        </w:rPr>
        <w:t>, ktoré sú definované ako:</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SCSI</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SC</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SCSP</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(32)</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kde </w:t>
      </w:r>
      <w:r>
        <w:rPr>
          <w:rFonts w:eastAsia="Times New Roman" w:cs="Times New Roman" w:ascii="Times New Roman" w:hAnsi="Times New Roman"/>
          <w:i/>
          <w:position w:val="-10"/>
          <w:sz w:val="24"/>
          <w:szCs w:val="24"/>
          <w:lang w:eastAsia="cs-CZ"/>
        </w:rPr>
        <w:t>SCSP</w:t>
      </w:r>
      <w:r>
        <w:rPr>
          <w:rFonts w:eastAsia="Times New Roman" w:cs="Times New Roman" w:ascii="Times New Roman" w:hAnsi="Times New Roman"/>
          <w:position w:val="-10"/>
          <w:sz w:val="24"/>
          <w:szCs w:val="24"/>
          <w:lang w:eastAsia="cs-CZ"/>
        </w:rPr>
        <w:t xml:space="preserve"> sú príjmy do druhého dôchodkového piliera zo sociálnych odvodov v bežných cenách modelované ako:</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eastAsia="cs-CZ"/>
        </w:rPr>
        <w:tab/>
        <w:tab/>
        <w:tab/>
        <w:tab/>
        <w:tab/>
        <w:tab/>
      </w:r>
      <w:r>
        <w:rPr/>
      </w:r>
      <m:oMath xmlns:m="http://schemas.openxmlformats.org/officeDocument/2006/math">
        <m:sSub>
          <m:e>
            <m:r>
              <m:rPr>
                <m:lit/>
                <m:nor/>
              </m:rPr>
              <w:rPr>
                <w:rFonts w:ascii="Cambria Math" w:hAnsi="Cambria Math"/>
              </w:rPr>
              <m:t xml:space="preserve">SCSP</m:t>
            </m:r>
          </m:e>
          <m:sub>
            <m:r>
              <w:rPr>
                <w:rFonts w:ascii="Cambria Math" w:hAnsi="Cambria Math"/>
              </w:rPr>
              <m:t xml:space="preserve">t</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sSub>
              <m:e>
                <m:r>
                  <m:rPr>
                    <m:lit/>
                    <m:nor/>
                  </m:rPr>
                  <w:rPr>
                    <w:rFonts w:ascii="Cambria Math" w:hAnsi="Cambria Math"/>
                  </w:rPr>
                  <m:t xml:space="preserve">QSCSI</m:t>
                </m:r>
              </m:e>
              <m:sub>
                <m:r>
                  <w:rPr>
                    <w:rFonts w:ascii="Cambria Math" w:hAnsi="Cambria Math"/>
                  </w:rPr>
                  <m:t xml:space="preserve">t</m:t>
                </m:r>
              </m:sub>
            </m:sSub>
          </m:e>
        </m:d>
        <m:sSub>
          <m:e>
            <m:r>
              <m:rPr>
                <m:lit/>
                <m:nor/>
              </m:rPr>
              <w:rPr>
                <w:rFonts w:ascii="Cambria Math" w:hAnsi="Cambria Math"/>
              </w:rPr>
              <m:t xml:space="preserve">QSCP</m:t>
            </m:r>
          </m:e>
          <m:sub>
            <m:r>
              <w:rPr>
                <w:rFonts w:ascii="Cambria Math" w:hAnsi="Cambria Math"/>
              </w:rPr>
              <m:t xml:space="preserve">t</m:t>
            </m:r>
          </m:sub>
        </m:sSub>
        <m:sSub>
          <m:e>
            <m:r>
              <m:rPr>
                <m:lit/>
                <m:nor/>
              </m:rPr>
              <w:rPr>
                <w:rFonts w:ascii="Cambria Math" w:hAnsi="Cambria Math"/>
              </w:rPr>
              <m:t xml:space="preserve">SC</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(33)</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QSCSI</w:t>
      </w:r>
      <w:r>
        <w:rPr>
          <w:rFonts w:eastAsia="Times New Roman" w:cs="Times New Roman" w:ascii="Times New Roman" w:hAnsi="Times New Roman"/>
          <w:position w:val="-10"/>
          <w:sz w:val="24"/>
          <w:szCs w:val="24"/>
          <w:lang w:eastAsia="cs-CZ"/>
        </w:rPr>
        <w:t xml:space="preserve"> je podiel príjmov do prvého dôchodkového piliera z celkových penzijných príjmov,</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QSCP</w:t>
      </w:r>
      <w:r>
        <w:rPr>
          <w:rFonts w:eastAsia="Times New Roman" w:cs="Times New Roman" w:ascii="Times New Roman" w:hAnsi="Times New Roman"/>
          <w:position w:val="-10"/>
          <w:sz w:val="24"/>
          <w:szCs w:val="24"/>
          <w:lang w:eastAsia="cs-CZ"/>
        </w:rPr>
        <w:t xml:space="preserve"> je podiel príjmov penzijného systému na celkových príjmoch sociálneho systému.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Následne je modelom zachytené aj vyplácanie dôchodkov z druhého dôchodkového piliera vzťahom:</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HSP</m:t>
            </m:r>
          </m:e>
          <m:sub>
            <m:r>
              <w:rPr>
                <w:rFonts w:ascii="Cambria Math" w:hAnsi="Cambria Math"/>
              </w:rPr>
              <m:t xml:space="preserve">t</m:t>
            </m:r>
          </m:sub>
        </m:sSub>
        <m:r>
          <w:rPr>
            <w:rFonts w:ascii="Cambria Math" w:hAnsi="Cambria Math"/>
          </w:rPr>
          <m:t xml:space="preserve">=</m:t>
        </m:r>
        <m:d>
          <m:dPr>
            <m:begChr m:val="("/>
            <m:endChr m:val=")"/>
          </m:dPr>
          <m:e>
            <m:r>
              <w:rPr>
                <w:rFonts w:ascii="Cambria Math" w:hAnsi="Cambria Math"/>
              </w:rPr>
              <m:t xml:space="preserve">1</m:t>
            </m:r>
            <m:r>
              <w:rPr>
                <w:rFonts w:ascii="Cambria Math" w:hAnsi="Cambria Math"/>
              </w:rPr>
              <m:t xml:space="preserve">−</m:t>
            </m:r>
            <m:sSub>
              <m:e>
                <m:r>
                  <m:rPr>
                    <m:lit/>
                    <m:nor/>
                  </m:rPr>
                  <w:rPr>
                    <w:rFonts w:ascii="Cambria Math" w:hAnsi="Cambria Math"/>
                  </w:rPr>
                  <m:t xml:space="preserve">QTRPS</m:t>
                </m:r>
              </m:e>
              <m:sub>
                <m:r>
                  <w:rPr>
                    <w:rFonts w:ascii="Cambria Math" w:hAnsi="Cambria Math"/>
                  </w:rPr>
                  <m:t xml:space="preserve">t</m:t>
                </m:r>
              </m:sub>
            </m:sSub>
          </m:e>
        </m:d>
        <m:r>
          <m:rPr>
            <m:lit/>
            <m:nor/>
          </m:rPr>
          <w:rPr>
            <w:rFonts w:ascii="Cambria Math" w:hAnsi="Cambria Math"/>
          </w:rPr>
          <m:t xml:space="preserve">TRP</m:t>
        </m:r>
        <m:sSub>
          <m:e>
            <m:r>
              <w:rPr>
                <w:rFonts w:ascii="Cambria Math" w:hAnsi="Cambria Math"/>
              </w:rPr>
              <m:t xml:space="preserve">2</m:t>
            </m:r>
          </m:e>
          <m:sub>
            <m:r>
              <w:rPr>
                <w:rFonts w:ascii="Cambria Math" w:hAnsi="Cambria Math"/>
              </w:rPr>
              <m:t xml:space="preserve">t</m:t>
            </m:r>
          </m:sub>
        </m:sSub>
        <m:sSub>
          <m:e>
            <m:r>
              <m:rPr>
                <m:lit/>
                <m:nor/>
              </m:rPr>
              <w:rPr>
                <w:rFonts w:ascii="Cambria Math" w:hAnsi="Cambria Math"/>
              </w:rPr>
              <m:t xml:space="preserve">QHSP</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(34)</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HSP</w:t>
      </w:r>
      <w:r>
        <w:rPr>
          <w:rFonts w:eastAsia="Times New Roman" w:cs="Times New Roman" w:ascii="Times New Roman" w:hAnsi="Times New Roman"/>
          <w:position w:val="-10"/>
          <w:sz w:val="24"/>
          <w:szCs w:val="24"/>
          <w:lang w:eastAsia="cs-CZ"/>
        </w:rPr>
        <w:t xml:space="preserve"> sú príjmy domácností z druhého dôchodkového piliera,</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QTRPS</w:t>
      </w:r>
      <w:r>
        <w:rPr>
          <w:rFonts w:eastAsia="Times New Roman" w:cs="Times New Roman" w:ascii="Times New Roman" w:hAnsi="Times New Roman"/>
          <w:position w:val="-10"/>
          <w:sz w:val="24"/>
          <w:szCs w:val="24"/>
          <w:lang w:eastAsia="cs-CZ"/>
        </w:rPr>
        <w:t xml:space="preserve"> je podiel prvého dôchodkového piliera na celkových dôchodkoch v spoločnosti,</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QHSP</w:t>
      </w:r>
      <w:r>
        <w:rPr>
          <w:rFonts w:eastAsia="Times New Roman" w:cs="Times New Roman" w:ascii="Times New Roman" w:hAnsi="Times New Roman"/>
          <w:position w:val="-10"/>
          <w:sz w:val="24"/>
          <w:szCs w:val="24"/>
          <w:lang w:eastAsia="cs-CZ"/>
        </w:rPr>
        <w:t xml:space="preserve"> je umelá premenná, ktorá v modeli umožňuje aktivovať, resp. deaktivovať druhý dôchodkový pilier.</w:t>
      </w:r>
    </w:p>
    <w:p>
      <w:pPr>
        <w:pStyle w:val="Normal"/>
        <w:spacing w:lineRule="auto" w:line="360"/>
        <w:jc w:val="both"/>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Normal"/>
        <w:spacing w:lineRule="auto" w:line="360"/>
        <w:jc w:val="both"/>
        <w:rPr>
          <w:rFonts w:ascii="Times New Roman" w:hAnsi="Times New Roman" w:eastAsia="Times New Roman" w:cs="Times New Roman"/>
          <w:b/>
          <w:b/>
          <w:bCs/>
          <w:sz w:val="28"/>
          <w:szCs w:val="28"/>
          <w:lang w:eastAsia="cs-CZ"/>
        </w:rPr>
      </w:pPr>
      <w:r>
        <w:rPr>
          <w:rFonts w:eastAsia="Times New Roman" w:cs="Times New Roman" w:ascii="Times New Roman" w:hAnsi="Times New Roman"/>
          <w:b/>
          <w:bCs/>
          <w:sz w:val="28"/>
          <w:szCs w:val="28"/>
          <w:lang w:eastAsia="cs-CZ"/>
        </w:rPr>
      </w:r>
    </w:p>
    <w:p>
      <w:pPr>
        <w:pStyle w:val="Heading2"/>
        <w:rPr>
          <w:rFonts w:ascii="Times New Roman" w:hAnsi="Times New Roman" w:cs="Times New Roman"/>
          <w:b/>
          <w:b/>
          <w:bCs/>
          <w:sz w:val="28"/>
          <w:szCs w:val="28"/>
        </w:rPr>
      </w:pPr>
      <w:r>
        <w:rPr/>
        <w:t>Zahraničný obchod, úspory a národný dôchodok</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Blok modelovania zahraničného obchodu je sústredený hlavne na zachytenie bežného účtu platobnej bilancie, ktorý zachytáva saldo výmeny tovarov a služieb:</w:t>
      </w:r>
    </w:p>
    <w:p>
      <w:pPr>
        <w:pStyle w:val="Normal"/>
        <w:spacing w:lineRule="auto" w:line="360"/>
        <w:ind w:left="2124"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CAXM</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TY</m:t>
            </m:r>
          </m:e>
          <m:sub>
            <m:r>
              <w:rPr>
                <w:rFonts w:ascii="Cambria Math" w:hAnsi="Cambria Math"/>
              </w:rPr>
              <m:t xml:space="preserve">t</m:t>
            </m:r>
          </m:sub>
        </m:sSub>
        <m:sSub>
          <m:e>
            <m:r>
              <w:rPr>
                <w:rFonts w:ascii="Cambria Math" w:hAnsi="Cambria Math"/>
              </w:rPr>
              <m:t xml:space="preserve">P</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CP</m:t>
            </m:r>
          </m:e>
          <m:sub>
            <m:r>
              <w:rPr>
                <w:rFonts w:ascii="Cambria Math" w:hAnsi="Cambria Math"/>
              </w:rPr>
              <m:t xml:space="preserve">t</m:t>
            </m:r>
          </m:sub>
        </m:sSub>
        <m:sSub>
          <m:e>
            <m:r>
              <m:rPr>
                <m:lit/>
                <m:nor/>
              </m:rPr>
              <w:rPr>
                <w:rFonts w:ascii="Cambria Math" w:hAnsi="Cambria Math"/>
              </w:rPr>
              <m:t xml:space="preserve">PC</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GC</m:t>
            </m:r>
          </m:e>
          <m:sub>
            <m:r>
              <w:rPr>
                <w:rFonts w:ascii="Cambria Math" w:hAnsi="Cambria Math"/>
              </w:rPr>
              <m:t xml:space="preserve">t</m:t>
            </m:r>
          </m:sub>
        </m:sSub>
        <m:sSub>
          <m:e>
            <m:r>
              <m:rPr>
                <m:lit/>
                <m:nor/>
              </m:rPr>
              <w:rPr>
                <w:rFonts w:ascii="Cambria Math" w:hAnsi="Cambria Math"/>
              </w:rPr>
              <m:t xml:space="preserve">PGC</m:t>
            </m:r>
          </m:e>
          <m:sub>
            <m:r>
              <w:rPr>
                <w:rFonts w:ascii="Cambria Math" w:hAnsi="Cambria Math"/>
              </w:rPr>
              <m:t xml:space="preserve">t</m:t>
            </m:r>
          </m:sub>
        </m:sSub>
        <m:r>
          <w:rPr>
            <w:rFonts w:ascii="Cambria Math" w:hAnsi="Cambria Math"/>
          </w:rPr>
          <m:t xml:space="preserve">+</m:t>
        </m:r>
        <m:sSub>
          <m:e>
            <m:r>
              <w:rPr>
                <w:rFonts w:ascii="Cambria Math" w:hAnsi="Cambria Math"/>
              </w:rPr>
              <m:t xml:space="preserve">I</m:t>
            </m:r>
          </m:e>
          <m:sub>
            <m:r>
              <w:rPr>
                <w:rFonts w:ascii="Cambria Math" w:hAnsi="Cambria Math"/>
              </w:rPr>
              <m:t xml:space="preserve">t</m:t>
            </m:r>
          </m:sub>
        </m:sSub>
        <m:sSub>
          <m:e>
            <m:r>
              <m:rPr>
                <m:lit/>
                <m:nor/>
              </m:rPr>
              <w:rPr>
                <w:rFonts w:ascii="Cambria Math" w:hAnsi="Cambria Math"/>
              </w:rPr>
              <m:t xml:space="preserve">PI</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SDIFFN</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(35)</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CAXM</w:t>
      </w:r>
      <w:r>
        <w:rPr>
          <w:rFonts w:eastAsia="Times New Roman" w:cs="Times New Roman" w:ascii="Times New Roman" w:hAnsi="Times New Roman"/>
          <w:position w:val="-10"/>
          <w:sz w:val="24"/>
          <w:szCs w:val="24"/>
          <w:lang w:eastAsia="cs-CZ"/>
        </w:rPr>
        <w:t xml:space="preserve"> je bilancia tovarov a služieb,</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SDIFFN</w:t>
      </w:r>
      <w:r>
        <w:rPr>
          <w:rFonts w:eastAsia="Times New Roman" w:cs="Times New Roman" w:ascii="Times New Roman" w:hAnsi="Times New Roman"/>
          <w:position w:val="-10"/>
          <w:sz w:val="24"/>
          <w:szCs w:val="24"/>
          <w:lang w:eastAsia="cs-CZ"/>
        </w:rPr>
        <w:t xml:space="preserve"> je štatistická chyba vzniknutá napr. pri rozdielnych spôsoboch vykazovania.</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Export je v modeli zachytený explicitne prostredníctvom vzťahu:</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r>
          <w:rPr>
            <w:rFonts w:ascii="Cambria Math" w:hAnsi="Cambria Math"/>
          </w:rPr>
          <m:t xml:space="preserve">Δ</m:t>
        </m:r>
        <m:r>
          <m:rPr>
            <m:lit/>
            <m:nor/>
          </m:rPr>
          <w:rPr>
            <w:rFonts w:ascii="Cambria Math" w:hAnsi="Cambria Math"/>
          </w:rPr>
          <m:t xml:space="preserve">ln</m:t>
        </m:r>
        <m:d>
          <m:dPr>
            <m:begChr m:val="("/>
            <m:endChr m:val=")"/>
          </m:dPr>
          <m:e>
            <m:sSub>
              <m:e>
                <m:r>
                  <w:rPr>
                    <w:rFonts w:ascii="Cambria Math" w:hAnsi="Cambria Math"/>
                  </w:rPr>
                  <m:t xml:space="preserve">X</m:t>
                </m:r>
              </m:e>
              <m:sub>
                <m:r>
                  <w:rPr>
                    <w:rFonts w:ascii="Cambria Math" w:hAnsi="Cambria Math"/>
                  </w:rPr>
                  <m:t xml:space="preserve">t</m:t>
                </m:r>
              </m:sub>
            </m:sSub>
          </m:e>
        </m:d>
        <m:r>
          <w:rPr>
            <w:rFonts w:ascii="Cambria Math" w:hAnsi="Cambria Math"/>
          </w:rPr>
          <m:t xml:space="preserve">=</m:t>
        </m:r>
        <m:sSub>
          <m:e>
            <m:r>
              <w:rPr>
                <w:rFonts w:ascii="Cambria Math" w:hAnsi="Cambria Math"/>
              </w:rPr>
              <m:t xml:space="preserve">β</m:t>
            </m:r>
          </m:e>
          <m:sub>
            <m:r>
              <w:rPr>
                <w:rFonts w:ascii="Cambria Math" w:hAnsi="Cambria Math"/>
              </w:rPr>
              <m:t xml:space="preserve">1</m:t>
            </m:r>
          </m:sub>
        </m:sSub>
        <m:r>
          <w:rPr>
            <w:rFonts w:ascii="Cambria Math" w:hAnsi="Cambria Math"/>
          </w:rPr>
          <m:t xml:space="preserve">Δ</m:t>
        </m:r>
        <m:r>
          <m:rPr>
            <m:lit/>
            <m:nor/>
          </m:rPr>
          <w:rPr>
            <w:rFonts w:ascii="Cambria Math" w:hAnsi="Cambria Math"/>
          </w:rPr>
          <m:t xml:space="preserve">ln</m:t>
        </m:r>
        <m:d>
          <m:dPr>
            <m:begChr m:val="("/>
            <m:endChr m:val=")"/>
          </m:dPr>
          <m:e>
            <m:sSub>
              <m:e>
                <m:r>
                  <m:rPr>
                    <m:lit/>
                    <m:nor/>
                  </m:rPr>
                  <w:rPr>
                    <w:rFonts w:ascii="Cambria Math" w:hAnsi="Cambria Math"/>
                  </w:rPr>
                  <m:t xml:space="preserve">YW</m:t>
                </m:r>
              </m:e>
              <m:sub>
                <m:r>
                  <w:rPr>
                    <w:rFonts w:ascii="Cambria Math" w:hAnsi="Cambria Math"/>
                  </w:rPr>
                  <m:t xml:space="preserve">t</m:t>
                </m:r>
              </m:sub>
            </m:sSub>
          </m:e>
        </m:d>
      </m:oMath>
      <w:r>
        <w:rPr>
          <w:rFonts w:eastAsia="Times New Roman" w:cs="Times New Roman" w:ascii="Times New Roman" w:hAnsi="Times New Roman"/>
          <w:position w:val="-10"/>
          <w:sz w:val="24"/>
          <w:szCs w:val="24"/>
          <w:lang w:val="en-US" w:eastAsia="cs-CZ"/>
        </w:rPr>
        <w:tab/>
        <w:tab/>
        <w:tab/>
        <w:t>(36)</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X</w:t>
      </w:r>
      <w:r>
        <w:rPr>
          <w:rFonts w:eastAsia="Times New Roman" w:cs="Times New Roman" w:ascii="Times New Roman" w:hAnsi="Times New Roman"/>
          <w:position w:val="-10"/>
          <w:sz w:val="24"/>
          <w:szCs w:val="24"/>
          <w:lang w:eastAsia="cs-CZ"/>
        </w:rPr>
        <w:t xml:space="preserve"> je export Slovenska v eurách v stálych cenách vo východiskovom modeli roku 2010,</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YW</w:t>
      </w:r>
      <w:r>
        <w:rPr>
          <w:rFonts w:eastAsia="Times New Roman" w:cs="Times New Roman" w:ascii="Times New Roman" w:hAnsi="Times New Roman"/>
          <w:position w:val="-10"/>
          <w:sz w:val="24"/>
          <w:szCs w:val="24"/>
          <w:lang w:eastAsia="cs-CZ"/>
        </w:rPr>
        <w:t xml:space="preserve"> je HDP najdôležitejších obchodných partnerov SR, a to Spolkovej republiky Nemecko, Českej republiky, Poľska, Talianska, Francúzska, Maďarska, Rakúska a Veľkej Británie.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Import Slovenska je zachytený vzťahom:</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eastAsia="cs-CZ"/>
        </w:rPr>
        <w:tab/>
        <w:tab/>
        <w:tab/>
        <w:tab/>
        <w:tab/>
        <w:tab/>
      </w:r>
      <w:r>
        <w:rPr/>
      </w:r>
      <m:oMath xmlns:m="http://schemas.openxmlformats.org/officeDocument/2006/math">
        <m:sSub>
          <m:e>
            <m:r>
              <w:rPr>
                <w:rFonts w:ascii="Cambria Math" w:hAnsi="Cambria Math"/>
              </w:rPr>
              <m:t xml:space="preserve">M</m:t>
            </m:r>
          </m:e>
          <m:sub>
            <m:r>
              <w:rPr>
                <w:rFonts w:ascii="Cambria Math" w:hAnsi="Cambria Math"/>
              </w:rPr>
              <m:t xml:space="preserve">t</m:t>
            </m:r>
          </m:sub>
        </m:sSub>
        <m:r>
          <w:rPr>
            <w:rFonts w:ascii="Cambria Math" w:hAnsi="Cambria Math"/>
          </w:rPr>
          <m:t xml:space="preserve">=</m:t>
        </m:r>
        <m:f>
          <m:num>
            <m:sSub>
              <m:e>
                <m:r>
                  <w:rPr>
                    <w:rFonts w:ascii="Cambria Math" w:hAnsi="Cambria Math"/>
                  </w:rPr>
                  <m:t xml:space="preserve">X</m:t>
                </m:r>
              </m:e>
              <m:sub>
                <m:r>
                  <w:rPr>
                    <w:rFonts w:ascii="Cambria Math" w:hAnsi="Cambria Math"/>
                  </w:rPr>
                  <m:t xml:space="preserve">t</m:t>
                </m:r>
              </m:sub>
            </m:sSub>
            <m:sSub>
              <m:e>
                <m:r>
                  <m:rPr>
                    <m:lit/>
                    <m:nor/>
                  </m:rPr>
                  <w:rPr>
                    <w:rFonts w:ascii="Cambria Math" w:hAnsi="Cambria Math"/>
                  </w:rPr>
                  <m:t xml:space="preserve">PX</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CAXM</m:t>
                </m:r>
              </m:e>
              <m:sub>
                <m:r>
                  <w:rPr>
                    <w:rFonts w:ascii="Cambria Math" w:hAnsi="Cambria Math"/>
                  </w:rPr>
                  <m:t xml:space="preserve">t</m:t>
                </m:r>
              </m:sub>
            </m:sSub>
          </m:num>
          <m:den>
            <m:sSub>
              <m:e>
                <m:r>
                  <m:rPr>
                    <m:lit/>
                    <m:nor/>
                  </m:rPr>
                  <w:rPr>
                    <w:rFonts w:ascii="Cambria Math" w:hAnsi="Cambria Math"/>
                  </w:rPr>
                  <m:t xml:space="preserve">PYW</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(37)</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M</w:t>
      </w:r>
      <w:r>
        <w:rPr>
          <w:rFonts w:eastAsia="Times New Roman" w:cs="Times New Roman" w:ascii="Times New Roman" w:hAnsi="Times New Roman"/>
          <w:position w:val="-26"/>
          <w:sz w:val="24"/>
          <w:szCs w:val="24"/>
          <w:lang w:eastAsia="cs-CZ"/>
        </w:rPr>
        <w:t xml:space="preserve"> predstavuje import Slovenska v stálych cenách v modeli roku 2010,</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PX</w:t>
      </w:r>
      <w:r>
        <w:rPr>
          <w:rFonts w:eastAsia="Times New Roman" w:cs="Times New Roman" w:ascii="Times New Roman" w:hAnsi="Times New Roman"/>
          <w:position w:val="-26"/>
          <w:sz w:val="24"/>
          <w:szCs w:val="24"/>
          <w:lang w:eastAsia="cs-CZ"/>
        </w:rPr>
        <w:t xml:space="preserve"> je deflátor exportu,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PYW</w:t>
      </w:r>
      <w:r>
        <w:rPr>
          <w:rFonts w:eastAsia="Times New Roman" w:cs="Times New Roman" w:ascii="Times New Roman" w:hAnsi="Times New Roman"/>
          <w:position w:val="-26"/>
          <w:sz w:val="24"/>
          <w:szCs w:val="24"/>
          <w:lang w:eastAsia="cs-CZ"/>
        </w:rPr>
        <w:t xml:space="preserve"> je priemerný deflátor menovaných hlavných obchodných partnerov SR, ktorý je vypočítaný ako podiel súčtu ich reálneho HDP a súčtu ich nominálneho HDP.</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Vzťahom v tvare:</w:t>
      </w:r>
    </w:p>
    <w:p>
      <w:pPr>
        <w:pStyle w:val="Normal"/>
        <w:spacing w:lineRule="auto" w:line="360"/>
        <w:ind w:left="3540" w:firstLine="708"/>
        <w:jc w:val="both"/>
        <w:rPr>
          <w:rFonts w:ascii="Times New Roman" w:hAnsi="Times New Roman" w:eastAsia="Times New Roman" w:cs="Times New Roman"/>
          <w:sz w:val="24"/>
          <w:szCs w:val="24"/>
          <w:lang w:eastAsia="cs-CZ"/>
        </w:rPr>
      </w:pPr>
      <w:r>
        <w:rPr/>
      </w:r>
      <m:oMath xmlns:m="http://schemas.openxmlformats.org/officeDocument/2006/math">
        <m:sSub>
          <m:e>
            <m:r>
              <m:rPr>
                <m:lit/>
                <m:nor/>
              </m:rPr>
              <w:rPr>
                <w:rFonts w:ascii="Cambria Math" w:hAnsi="Cambria Math"/>
              </w:rPr>
              <m:t xml:space="preserve">CAY</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QCAY</m:t>
            </m:r>
          </m:e>
          <m:sub>
            <m:r>
              <w:rPr>
                <w:rFonts w:ascii="Cambria Math" w:hAnsi="Cambria Math"/>
              </w:rPr>
              <m:t xml:space="preserve">t</m:t>
            </m:r>
          </m:sub>
        </m:sSub>
        <m:sSub>
          <m:e>
            <m:r>
              <m:rPr>
                <m:lit/>
                <m:nor/>
              </m:rPr>
              <w:rPr>
                <w:rFonts w:ascii="Cambria Math" w:hAnsi="Cambria Math"/>
              </w:rPr>
              <m:t xml:space="preserve">NFA</m:t>
            </m:r>
          </m:e>
          <m:sub>
            <m:r>
              <w:rPr>
                <w:rFonts w:ascii="Cambria Math" w:hAnsi="Cambria Math"/>
              </w:rPr>
              <m:t xml:space="preserve">t</m:t>
            </m:r>
            <m:r>
              <w:rPr>
                <w:rFonts w:ascii="Cambria Math" w:hAnsi="Cambria Math"/>
              </w:rPr>
              <m:t xml:space="preserve">−</m:t>
            </m:r>
            <m:r>
              <w:rPr>
                <w:rFonts w:ascii="Cambria Math" w:hAnsi="Cambria Math"/>
              </w:rPr>
              <m:t xml:space="preserve">1</m:t>
            </m:r>
          </m:sub>
        </m:sSub>
        <m:sSub>
          <m:e>
            <m:r>
              <m:rPr>
                <m:lit/>
                <m:nor/>
              </m:rPr>
              <w:rPr>
                <w:rFonts w:ascii="Cambria Math" w:hAnsi="Cambria Math"/>
              </w:rPr>
              <m:t xml:space="preserve">RN</m:t>
            </m:r>
          </m:e>
          <m:sub>
            <m:r>
              <w:rPr>
                <w:rFonts w:ascii="Cambria Math" w:hAnsi="Cambria Math"/>
              </w:rPr>
              <m:t xml:space="preserve">t</m:t>
            </m:r>
          </m:sub>
        </m:sSub>
      </m:oMath>
      <w:r>
        <w:rPr>
          <w:rFonts w:eastAsia="Times New Roman" w:cs="Times New Roman" w:ascii="Times New Roman" w:hAnsi="Times New Roman"/>
          <w:position w:val="-26"/>
          <w:sz w:val="24"/>
          <w:szCs w:val="24"/>
          <w:lang w:eastAsia="cs-CZ"/>
        </w:rPr>
        <w:t xml:space="preserve"> </w:t>
      </w:r>
      <w:r>
        <w:rPr>
          <w:rFonts w:eastAsia="Times New Roman" w:cs="Times New Roman" w:ascii="Times New Roman" w:hAnsi="Times New Roman"/>
          <w:position w:val="-26"/>
          <w:sz w:val="24"/>
          <w:szCs w:val="24"/>
          <w:lang w:eastAsia="cs-CZ"/>
        </w:rPr>
        <w:tab/>
        <w:tab/>
        <w:tab/>
        <w:t>(38)</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je modelovaná bilancia ziskov </w:t>
      </w:r>
      <w:r>
        <w:rPr>
          <w:rFonts w:eastAsia="Times New Roman" w:cs="Times New Roman" w:ascii="Times New Roman" w:hAnsi="Times New Roman"/>
          <w:i/>
          <w:position w:val="-26"/>
          <w:sz w:val="24"/>
          <w:szCs w:val="24"/>
          <w:lang w:eastAsia="cs-CZ"/>
        </w:rPr>
        <w:t>CAY</w:t>
      </w:r>
      <w:r>
        <w:rPr>
          <w:rFonts w:eastAsia="Times New Roman" w:cs="Times New Roman" w:ascii="Times New Roman" w:hAnsi="Times New Roman"/>
          <w:position w:val="-26"/>
          <w:sz w:val="24"/>
          <w:szCs w:val="24"/>
          <w:lang w:eastAsia="cs-CZ"/>
        </w:rPr>
        <w:t xml:space="preserve"> pre Slovensko v bežných cenách, 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NFA</w:t>
      </w:r>
      <w:r>
        <w:rPr>
          <w:rFonts w:eastAsia="Times New Roman" w:cs="Times New Roman" w:ascii="Times New Roman" w:hAnsi="Times New Roman"/>
          <w:position w:val="-26"/>
          <w:sz w:val="24"/>
          <w:szCs w:val="24"/>
          <w:lang w:eastAsia="cs-CZ"/>
        </w:rPr>
        <w:t xml:space="preserve"> predstavujú čisté zahraničné aktíva,</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RN</w:t>
      </w:r>
      <w:r>
        <w:rPr>
          <w:rFonts w:eastAsia="Times New Roman" w:cs="Times New Roman" w:ascii="Times New Roman" w:hAnsi="Times New Roman"/>
          <w:position w:val="-26"/>
          <w:sz w:val="24"/>
          <w:szCs w:val="24"/>
          <w:lang w:eastAsia="cs-CZ"/>
        </w:rPr>
        <w:t xml:space="preserve"> je nominálna úroková miera,</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QCAY</w:t>
      </w:r>
      <w:r>
        <w:rPr>
          <w:rFonts w:eastAsia="Times New Roman" w:cs="Times New Roman" w:ascii="Times New Roman" w:hAnsi="Times New Roman"/>
          <w:position w:val="-26"/>
          <w:sz w:val="24"/>
          <w:szCs w:val="24"/>
          <w:lang w:eastAsia="cs-CZ"/>
        </w:rPr>
        <w:t xml:space="preserve"> je kalibračnou konštantou na zabezpečenie zachytenia historických dát.</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Saldo bežného účtu platobnej bilancie je modelované vzťahom:</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CA</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CAXM</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CAY</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CAT</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(39)</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kde: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CA</w:t>
      </w:r>
      <w:r>
        <w:rPr>
          <w:rFonts w:eastAsia="Times New Roman" w:cs="Times New Roman" w:ascii="Times New Roman" w:hAnsi="Times New Roman"/>
          <w:position w:val="-10"/>
          <w:sz w:val="24"/>
          <w:szCs w:val="24"/>
          <w:lang w:eastAsia="cs-CZ"/>
        </w:rPr>
        <w:t xml:space="preserve"> je hodnota salda bežného účtu platobnej bilancie,</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10"/>
          <w:sz w:val="24"/>
          <w:szCs w:val="24"/>
          <w:lang w:eastAsia="cs-CZ"/>
        </w:rPr>
        <w:t>CAT</w:t>
      </w:r>
      <w:r>
        <w:rPr>
          <w:rStyle w:val="FootnoteAnchor"/>
          <w:rFonts w:eastAsia="Times New Roman" w:cs="Times New Roman" w:ascii="Times New Roman" w:hAnsi="Times New Roman"/>
          <w:sz w:val="24"/>
          <w:szCs w:val="24"/>
          <w:lang w:eastAsia="cs-CZ"/>
        </w:rPr>
        <w:footnoteReference w:id="9"/>
      </w:r>
      <w:r>
        <w:rPr>
          <w:rFonts w:eastAsia="Times New Roman" w:cs="Times New Roman" w:ascii="Times New Roman" w:hAnsi="Times New Roman"/>
          <w:position w:val="-10"/>
          <w:sz w:val="24"/>
          <w:szCs w:val="24"/>
          <w:lang w:eastAsia="cs-CZ"/>
        </w:rPr>
        <w:t xml:space="preserve"> je bilanciou transferov Slovenska v bežných cenách.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Na základe vyčíslenia hodnoty salda bežného účtu platobnej bilancie model umožňuje stanovenie hodnoty čistých zahraničných aktív </w:t>
      </w:r>
      <w:r>
        <w:rPr>
          <w:rFonts w:eastAsia="Times New Roman" w:cs="Times New Roman" w:ascii="Times New Roman" w:hAnsi="Times New Roman"/>
          <w:i/>
          <w:position w:val="-10"/>
          <w:sz w:val="24"/>
          <w:szCs w:val="24"/>
          <w:lang w:eastAsia="cs-CZ"/>
        </w:rPr>
        <w:t>NFA</w:t>
      </w:r>
      <w:r>
        <w:rPr>
          <w:rFonts w:eastAsia="Times New Roman" w:cs="Times New Roman" w:ascii="Times New Roman" w:hAnsi="Times New Roman"/>
          <w:position w:val="-10"/>
          <w:sz w:val="24"/>
          <w:szCs w:val="24"/>
          <w:lang w:eastAsia="cs-CZ"/>
        </w:rPr>
        <w:t xml:space="preserve"> v tvare:</w:t>
      </w:r>
    </w:p>
    <w:p>
      <w:pPr>
        <w:pStyle w:val="Normal"/>
        <w:spacing w:lineRule="auto" w:line="360"/>
        <w:ind w:left="4248" w:hanging="0"/>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NFA</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NFA</m:t>
            </m:r>
          </m:e>
          <m:sub>
            <m:r>
              <w:rPr>
                <w:rFonts w:ascii="Cambria Math" w:hAnsi="Cambria Math"/>
              </w:rPr>
              <m:t xml:space="preserve">t</m:t>
            </m:r>
            <m:r>
              <w:rPr>
                <w:rFonts w:ascii="Cambria Math" w:hAnsi="Cambria Math"/>
              </w:rPr>
              <m:t xml:space="preserve">−</m:t>
            </m:r>
            <m:r>
              <w:rPr>
                <w:rFonts w:ascii="Cambria Math" w:hAnsi="Cambria Math"/>
              </w:rPr>
              <m:t xml:space="preserve">1</m:t>
            </m:r>
          </m:sub>
        </m:sSub>
        <m:r>
          <w:rPr>
            <w:rFonts w:ascii="Cambria Math" w:hAnsi="Cambria Math"/>
          </w:rPr>
          <m:t xml:space="preserve">+</m:t>
        </m:r>
        <m:sSub>
          <m:e>
            <m:r>
              <m:rPr>
                <m:lit/>
                <m:nor/>
              </m:rPr>
              <w:rPr>
                <w:rFonts w:ascii="Cambria Math" w:hAnsi="Cambria Math"/>
              </w:rPr>
              <m:t xml:space="preserve">CA</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ab/>
        <w:t>(40)</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Daný blok modelu zachytáva aj vyčíslenie hrubého národného produktu </w:t>
      </w:r>
      <w:r>
        <w:rPr>
          <w:rFonts w:eastAsia="Times New Roman" w:cs="Times New Roman" w:ascii="Times New Roman" w:hAnsi="Times New Roman"/>
          <w:i/>
          <w:position w:val="-10"/>
          <w:sz w:val="24"/>
          <w:szCs w:val="24"/>
          <w:lang w:eastAsia="cs-CZ"/>
        </w:rPr>
        <w:t>YNPN</w:t>
      </w:r>
      <w:r>
        <w:rPr>
          <w:rFonts w:eastAsia="Times New Roman" w:cs="Times New Roman" w:ascii="Times New Roman" w:hAnsi="Times New Roman"/>
          <w:position w:val="-10"/>
          <w:sz w:val="24"/>
          <w:szCs w:val="24"/>
          <w:lang w:eastAsia="cs-CZ"/>
        </w:rPr>
        <w:t xml:space="preserve"> v tvare:</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YNPN</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TY</m:t>
            </m:r>
          </m:e>
          <m:sub>
            <m:r>
              <w:rPr>
                <w:rFonts w:ascii="Cambria Math" w:hAnsi="Cambria Math"/>
              </w:rPr>
              <m:t xml:space="preserve">t</m:t>
            </m:r>
          </m:sub>
        </m:sSub>
        <m:sSub>
          <m:e>
            <m:r>
              <w:rPr>
                <w:rFonts w:ascii="Cambria Math" w:hAnsi="Cambria Math"/>
              </w:rPr>
              <m:t xml:space="preserve">P</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CAY</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(41)</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val="en-US" w:eastAsia="cs-CZ"/>
        </w:rPr>
        <w:t>a </w:t>
      </w:r>
      <w:r>
        <w:rPr>
          <w:rFonts w:eastAsia="Times New Roman" w:cs="Times New Roman" w:ascii="Times New Roman" w:hAnsi="Times New Roman"/>
          <w:position w:val="-10"/>
          <w:sz w:val="24"/>
          <w:szCs w:val="24"/>
          <w:lang w:eastAsia="cs-CZ"/>
        </w:rPr>
        <w:t xml:space="preserve">následne na základe neho je možné vypočítať hodnotu disponibilného dôchodku ekonomiky v bežných cenách </w:t>
      </w:r>
      <w:r>
        <w:rPr>
          <w:rFonts w:eastAsia="Times New Roman" w:cs="Times New Roman" w:ascii="Times New Roman" w:hAnsi="Times New Roman"/>
          <w:i/>
          <w:position w:val="-10"/>
          <w:sz w:val="24"/>
          <w:szCs w:val="24"/>
          <w:lang w:eastAsia="cs-CZ"/>
        </w:rPr>
        <w:t>YDEN</w:t>
      </w:r>
      <w:r>
        <w:rPr>
          <w:rFonts w:eastAsia="Times New Roman" w:cs="Times New Roman" w:ascii="Times New Roman" w:hAnsi="Times New Roman"/>
          <w:position w:val="-10"/>
          <w:sz w:val="24"/>
          <w:szCs w:val="24"/>
          <w:lang w:eastAsia="cs-CZ"/>
        </w:rPr>
        <w:t>:</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position w:val="-10"/>
          <w:sz w:val="24"/>
          <w:szCs w:val="24"/>
          <w:lang w:eastAsia="cs-CZ"/>
        </w:rPr>
        <w:tab/>
        <w:tab/>
        <w:tab/>
        <w:tab/>
        <w:tab/>
        <w:tab/>
      </w:r>
      <w:r>
        <w:rPr/>
      </w:r>
      <m:oMath xmlns:m="http://schemas.openxmlformats.org/officeDocument/2006/math">
        <m:sSub>
          <m:e>
            <m:r>
              <m:rPr>
                <m:lit/>
                <m:nor/>
              </m:rPr>
              <w:rPr>
                <w:rFonts w:ascii="Cambria Math" w:hAnsi="Cambria Math"/>
              </w:rPr>
              <m:t xml:space="preserve">YDEN</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YNPN</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CAT</m:t>
            </m:r>
          </m:e>
          <m:sub>
            <m:r>
              <w:rPr>
                <w:rFonts w:ascii="Cambria Math" w:hAnsi="Cambria Math"/>
              </w:rPr>
              <m:t xml:space="preserve">t</m:t>
            </m:r>
          </m:sub>
        </m:sSub>
      </m:oMath>
      <w:r>
        <w:rPr>
          <w:rFonts w:eastAsia="Times New Roman" w:cs="Times New Roman" w:ascii="Times New Roman" w:hAnsi="Times New Roman"/>
          <w:position w:val="-10"/>
          <w:sz w:val="24"/>
          <w:szCs w:val="24"/>
          <w:lang w:val="en-US" w:eastAsia="cs-CZ"/>
        </w:rPr>
        <w:tab/>
        <w:tab/>
        <w:tab/>
        <w:t>(42)</w:t>
      </w:r>
    </w:p>
    <w:p>
      <w:pPr>
        <w:pStyle w:val="Heading2"/>
        <w:rPr>
          <w:rFonts w:ascii="Times New Roman" w:hAnsi="Times New Roman" w:eastAsia="Times New Roman" w:cs="Times New Roman"/>
          <w:b/>
          <w:b/>
          <w:bCs/>
          <w:sz w:val="28"/>
          <w:szCs w:val="28"/>
          <w:lang w:eastAsia="cs-CZ"/>
        </w:rPr>
      </w:pPr>
      <w:r>
        <w:rPr/>
        <w:t>Inkluzívny trh</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Posledným blokom popisovaného východiskového modelu je blok inkluzívneho trhu, ktorým bol model rozšírený oproti rakúskemu modelu. Takto interpretovaný model predpokladá exogénny vstup do modelu v podobe počtu inkluzívnych zamestnancov na základe počtu pracovných pozícií, ktoré sú vytvorené štátom. V rámci modelu je mzda inkluzívnych zamestnancov určená prostredníctvom vzťahu:</w:t>
      </w:r>
    </w:p>
    <w:p>
      <w:pPr>
        <w:pStyle w:val="Normal"/>
        <w:spacing w:lineRule="auto" w:line="360"/>
        <w:ind w:left="3540" w:firstLine="708"/>
        <w:jc w:val="both"/>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WIM</m:t>
            </m:r>
          </m:e>
          <m:sub>
            <m:r>
              <w:rPr>
                <w:rFonts w:ascii="Cambria Math" w:hAnsi="Cambria Math"/>
              </w:rPr>
              <m:t xml:space="preserve">t</m:t>
            </m:r>
          </m:sub>
        </m:sSub>
        <m:r>
          <w:rPr>
            <w:rFonts w:ascii="Cambria Math" w:hAnsi="Cambria Math"/>
          </w:rPr>
          <m:t xml:space="preserve">=</m:t>
        </m:r>
        <m:d>
          <m:dPr>
            <m:begChr m:val="("/>
            <m:endChr m:val=")"/>
          </m:dPr>
          <m:e>
            <m:f>
              <m:num>
                <m:r>
                  <w:rPr>
                    <w:rFonts w:ascii="Cambria Math" w:hAnsi="Cambria Math"/>
                  </w:rPr>
                  <m:t xml:space="preserve">3</m:t>
                </m:r>
              </m:num>
              <m:den>
                <m:r>
                  <w:rPr>
                    <w:rFonts w:ascii="Cambria Math" w:hAnsi="Cambria Math"/>
                  </w:rPr>
                  <m:t xml:space="preserve">8</m:t>
                </m:r>
              </m:den>
            </m:f>
          </m:e>
        </m:d>
        <m:sSub>
          <m:e>
            <m:r>
              <w:rPr>
                <w:rFonts w:ascii="Cambria Math" w:hAnsi="Cambria Math"/>
              </w:rPr>
              <m:t xml:space="preserve">W</m:t>
            </m:r>
          </m:e>
          <m:sub>
            <m:r>
              <w:rPr>
                <w:rFonts w:ascii="Cambria Math" w:hAnsi="Cambria Math"/>
              </w:rPr>
              <m:t xml:space="preserve">t</m:t>
            </m:r>
          </m:sub>
        </m:sSub>
      </m:oMath>
      <w:r>
        <w:rPr>
          <w:rFonts w:eastAsia="Times New Roman" w:cs="Times New Roman" w:ascii="Times New Roman" w:hAnsi="Times New Roman"/>
          <w:position w:val="-26"/>
          <w:sz w:val="24"/>
          <w:szCs w:val="24"/>
          <w:lang w:val="en-US" w:eastAsia="cs-CZ"/>
        </w:rPr>
        <w:tab/>
        <w:tab/>
        <w:tab/>
        <w:tab/>
        <w:t>(43)</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 xml:space="preserve">kde </w:t>
      </w:r>
      <w:r>
        <w:rPr>
          <w:rFonts w:eastAsia="Times New Roman" w:cs="Times New Roman" w:ascii="Times New Roman" w:hAnsi="Times New Roman"/>
          <w:i/>
          <w:position w:val="-10"/>
          <w:sz w:val="24"/>
          <w:szCs w:val="24"/>
          <w:lang w:eastAsia="cs-CZ"/>
        </w:rPr>
        <w:t>WIM</w:t>
      </w:r>
      <w:r>
        <w:rPr>
          <w:rFonts w:eastAsia="Times New Roman" w:cs="Times New Roman" w:ascii="Times New Roman" w:hAnsi="Times New Roman"/>
          <w:position w:val="-10"/>
          <w:sz w:val="24"/>
          <w:szCs w:val="24"/>
          <w:lang w:eastAsia="cs-CZ"/>
        </w:rPr>
        <w:t xml:space="preserve"> predstavuje priemernú hodinovú mzdu inkluzívneho zamestnanca v stálych cenách roku 2010. V modeli sa pracuje s informáciou, že priemerná mzda inkluzívnych zamestnancov je výrazne nižšia ako zamestnancov na štandardnom trhu, ale pritom stále vyššia ako minimálna mzda.</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10"/>
          <w:sz w:val="24"/>
          <w:szCs w:val="24"/>
          <w:lang w:eastAsia="cs-CZ"/>
        </w:rPr>
        <w:t>Ďalej sú v tomto bloku počítané celkové kompenzácie zamestnancov inkluzívneho trhu ako:</w:t>
      </w:r>
    </w:p>
    <w:p>
      <w:pPr>
        <w:pStyle w:val="Normal"/>
        <w:spacing w:lineRule="auto" w:line="360"/>
        <w:ind w:left="3540" w:firstLine="708"/>
        <w:jc w:val="both"/>
        <w:rPr>
          <w:rFonts w:ascii="Times New Roman" w:hAnsi="Times New Roman" w:eastAsia="Times New Roman" w:cs="Times New Roman"/>
          <w:sz w:val="24"/>
          <w:szCs w:val="24"/>
          <w:lang w:eastAsia="cs-CZ"/>
        </w:rPr>
      </w:pPr>
      <w:r>
        <w:rPr/>
      </w:r>
      <m:oMath xmlns:m="http://schemas.openxmlformats.org/officeDocument/2006/math">
        <m:eqArr>
          <m:e>
            <m:sSub>
              <m:e>
                <m:r>
                  <m:rPr>
                    <m:lit/>
                    <m:nor/>
                  </m:rPr>
                  <w:rPr>
                    <w:rFonts w:ascii="Cambria Math" w:hAnsi="Cambria Math"/>
                  </w:rPr>
                  <m:t xml:space="preserve">YLIM</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WIM</m:t>
                </m:r>
              </m:e>
              <m:sub>
                <m:r>
                  <w:rPr>
                    <w:rFonts w:ascii="Cambria Math" w:hAnsi="Cambria Math"/>
                  </w:rPr>
                  <m:t xml:space="preserve">t</m:t>
                </m:r>
              </m:sub>
            </m:sSub>
            <m:sSub>
              <m:e>
                <m:r>
                  <w:rPr>
                    <w:rFonts w:ascii="Cambria Math" w:hAnsi="Cambria Math"/>
                  </w:rPr>
                  <m:t xml:space="preserve">P</m:t>
                </m:r>
              </m:e>
              <m:sub>
                <m:r>
                  <w:rPr>
                    <w:rFonts w:ascii="Cambria Math" w:hAnsi="Cambria Math"/>
                  </w:rPr>
                  <m:t xml:space="preserve">t</m:t>
                </m:r>
              </m:sub>
            </m:sSub>
            <m:sSub>
              <m:e>
                <m:r>
                  <m:rPr>
                    <m:lit/>
                    <m:nor/>
                  </m:rPr>
                  <w:rPr>
                    <w:rFonts w:ascii="Cambria Math" w:hAnsi="Cambria Math"/>
                  </w:rPr>
                  <m:t xml:space="preserve">LEIM</m:t>
                </m:r>
              </m:e>
              <m:sub>
                <m:r>
                  <w:rPr>
                    <w:rFonts w:ascii="Cambria Math" w:hAnsi="Cambria Math"/>
                  </w:rPr>
                  <m:t xml:space="preserve">t</m:t>
                </m:r>
              </m:sub>
            </m:sSub>
            <m:sSub>
              <m:e>
                <m:r>
                  <m:rPr>
                    <m:lit/>
                    <m:nor/>
                  </m:rPr>
                  <w:rPr>
                    <w:rFonts w:ascii="Cambria Math" w:hAnsi="Cambria Math"/>
                  </w:rPr>
                  <m:t xml:space="preserve">QLD</m:t>
                </m:r>
              </m:e>
              <m:sub>
                <m:r>
                  <w:rPr>
                    <w:rFonts w:ascii="Cambria Math" w:hAnsi="Cambria Math"/>
                  </w:rPr>
                  <m:t xml:space="preserve">t</m:t>
                </m:r>
              </m:sub>
            </m:sSub>
            <m:sSub>
              <m:e>
                <m:r>
                  <m:rPr>
                    <m:lit/>
                    <m:nor/>
                  </m:rPr>
                  <w:rPr>
                    <w:rFonts w:ascii="Cambria Math" w:hAnsi="Cambria Math"/>
                  </w:rPr>
                  <m:t xml:space="preserve">QWT</m:t>
                </m:r>
              </m:e>
              <m:sub>
                <m:r>
                  <w:rPr>
                    <w:rFonts w:ascii="Cambria Math" w:hAnsi="Cambria Math"/>
                  </w:rPr>
                  <m:t xml:space="preserve">t</m:t>
                </m:r>
              </m:sub>
            </m:sSub>
          </m:e>
          <m:e>
            <m:r>
              <w:rPr>
                <w:rFonts w:ascii="Cambria Math" w:hAnsi="Cambria Math"/>
              </w:rPr>
              <m:t xml:space="preserve">+</m:t>
            </m:r>
            <m:sSub>
              <m:e>
                <m:r>
                  <w:rPr>
                    <w:rFonts w:ascii="Cambria Math" w:hAnsi="Cambria Math"/>
                  </w:rPr>
                  <m:t xml:space="preserve">W</m:t>
                </m:r>
              </m:e>
              <m:sub>
                <m:r>
                  <w:rPr>
                    <w:rFonts w:ascii="Cambria Math" w:hAnsi="Cambria Math"/>
                  </w:rPr>
                  <m:t xml:space="preserve">t</m:t>
                </m:r>
              </m:sub>
            </m:sSub>
            <m:sSub>
              <m:e>
                <m:r>
                  <w:rPr>
                    <w:rFonts w:ascii="Cambria Math" w:hAnsi="Cambria Math"/>
                  </w:rPr>
                  <m:t xml:space="preserve">P</m:t>
                </m:r>
              </m:e>
              <m:sub>
                <m:r>
                  <w:rPr>
                    <w:rFonts w:ascii="Cambria Math" w:hAnsi="Cambria Math"/>
                  </w:rPr>
                  <m:t xml:space="preserve">t</m:t>
                </m:r>
              </m:sub>
            </m:sSub>
            <m:d>
              <m:dPr>
                <m:begChr m:val="("/>
                <m:endChr m:val=")"/>
              </m:dPr>
              <m:e>
                <m:f>
                  <m:num>
                    <m:r>
                      <w:rPr>
                        <w:rFonts w:ascii="Cambria Math" w:hAnsi="Cambria Math"/>
                      </w:rPr>
                      <m:t xml:space="preserve">1</m:t>
                    </m:r>
                  </m:num>
                  <m:den>
                    <m:r>
                      <w:rPr>
                        <w:rFonts w:ascii="Cambria Math" w:hAnsi="Cambria Math"/>
                      </w:rPr>
                      <m:t xml:space="preserve">4</m:t>
                    </m:r>
                  </m:den>
                </m:f>
              </m:e>
            </m:d>
            <m:sSub>
              <m:e>
                <m:r>
                  <m:rPr>
                    <m:lit/>
                    <m:nor/>
                  </m:rPr>
                  <w:rPr>
                    <w:rFonts w:ascii="Cambria Math" w:hAnsi="Cambria Math"/>
                  </w:rPr>
                  <m:t xml:space="preserve">LEIM</m:t>
                </m:r>
              </m:e>
              <m:sub>
                <m:r>
                  <w:rPr>
                    <w:rFonts w:ascii="Cambria Math" w:hAnsi="Cambria Math"/>
                  </w:rPr>
                  <m:t xml:space="preserve">t</m:t>
                </m:r>
              </m:sub>
            </m:sSub>
            <m:sSub>
              <m:e>
                <m:r>
                  <m:rPr>
                    <m:lit/>
                    <m:nor/>
                  </m:rPr>
                  <w:rPr>
                    <w:rFonts w:ascii="Cambria Math" w:hAnsi="Cambria Math"/>
                  </w:rPr>
                  <m:t xml:space="preserve">QLD</m:t>
                </m:r>
              </m:e>
              <m:sub>
                <m:r>
                  <w:rPr>
                    <w:rFonts w:ascii="Cambria Math" w:hAnsi="Cambria Math"/>
                  </w:rPr>
                  <m:t xml:space="preserve">t</m:t>
                </m:r>
              </m:sub>
            </m:sSub>
            <m:sSub>
              <m:e>
                <m:r>
                  <m:rPr>
                    <m:lit/>
                    <m:nor/>
                  </m:rPr>
                  <w:rPr>
                    <w:rFonts w:ascii="Cambria Math" w:hAnsi="Cambria Math"/>
                  </w:rPr>
                  <m:t xml:space="preserve">QWT</m:t>
                </m:r>
              </m:e>
              <m:sub>
                <m:r>
                  <w:rPr>
                    <w:rFonts w:ascii="Cambria Math" w:hAnsi="Cambria Math"/>
                  </w:rPr>
                  <m:t xml:space="preserve">t</m:t>
                </m:r>
              </m:sub>
            </m:sSub>
          </m:e>
        </m:eqArr>
      </m:oMath>
      <w:r>
        <w:rPr>
          <w:rFonts w:eastAsia="Times New Roman" w:cs="Times New Roman" w:ascii="Times New Roman" w:hAnsi="Times New Roman"/>
          <w:position w:val="-40"/>
          <w:sz w:val="24"/>
          <w:szCs w:val="24"/>
          <w:lang w:val="en-US" w:eastAsia="cs-CZ"/>
        </w:rPr>
        <w:tab/>
        <w:t>(44)</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kde:</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YLIM</w:t>
      </w:r>
      <w:r>
        <w:rPr>
          <w:rFonts w:cs="Times New Roman" w:ascii="Times New Roman" w:hAnsi="Times New Roman"/>
          <w:sz w:val="24"/>
          <w:szCs w:val="24"/>
        </w:rPr>
        <w:t xml:space="preserve"> sú celkové kompenzácie zamestnancov inkluzívneho trhu v bežných cenách,</w:t>
      </w:r>
    </w:p>
    <w:p>
      <w:pPr>
        <w:pStyle w:val="Normal"/>
        <w:spacing w:lineRule="auto" w:line="360"/>
        <w:jc w:val="both"/>
        <w:rPr>
          <w:rFonts w:ascii="Times New Roman" w:hAnsi="Times New Roman" w:cs="Times New Roman"/>
          <w:sz w:val="24"/>
          <w:szCs w:val="24"/>
        </w:rPr>
      </w:pPr>
      <w:r>
        <w:rPr>
          <w:rFonts w:cs="Times New Roman" w:ascii="Times New Roman" w:hAnsi="Times New Roman"/>
          <w:i/>
          <w:sz w:val="24"/>
          <w:szCs w:val="24"/>
        </w:rPr>
        <w:t>LEIM</w:t>
      </w:r>
      <w:r>
        <w:rPr>
          <w:rFonts w:cs="Times New Roman" w:ascii="Times New Roman" w:hAnsi="Times New Roman"/>
          <w:sz w:val="24"/>
          <w:szCs w:val="24"/>
        </w:rPr>
        <w:t xml:space="preserve"> je počet inkluzívnych zamestnancov.</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Predpokladaný počet neinkluzívnych zamestnancov je jeden na štyroch inkluzívnych zamestnancov. Následne boli modelované celkové výdavky na inkluzívny trh GIM, ktoré predstavovali samostatnú položku výdavkov vlády prostredníctvom vzťahu:</w:t>
      </w:r>
    </w:p>
    <w:p>
      <w:pPr>
        <w:pStyle w:val="Normal"/>
        <w:spacing w:lineRule="auto" w:line="360"/>
        <w:ind w:left="3540" w:firstLine="708"/>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GIM</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YLIM</m:t>
                </m:r>
              </m:e>
              <m:sub>
                <m:r>
                  <w:rPr>
                    <w:rFonts w:ascii="Cambria Math" w:hAnsi="Cambria Math"/>
                  </w:rPr>
                  <m:t xml:space="preserve">t</m:t>
                </m:r>
              </m:sub>
            </m:sSub>
          </m:num>
          <m:den>
            <m:r>
              <w:rPr>
                <w:rFonts w:ascii="Cambria Math" w:hAnsi="Cambria Math"/>
              </w:rPr>
              <m:t xml:space="preserve">0,7</m:t>
            </m:r>
          </m:den>
        </m:f>
      </m:oMath>
      <w:r>
        <w:rPr>
          <w:rFonts w:eastAsia="Times New Roman" w:cs="Times New Roman" w:ascii="Times New Roman" w:hAnsi="Times New Roman"/>
          <w:position w:val="-24"/>
          <w:sz w:val="24"/>
          <w:szCs w:val="24"/>
          <w:lang w:val="en-US" w:eastAsia="cs-CZ"/>
        </w:rPr>
        <w:tab/>
        <w:tab/>
        <w:tab/>
        <w:tab/>
        <w:t>(45)</w:t>
      </w:r>
    </w:p>
    <w:p>
      <w:pPr>
        <w:pStyle w:val="Normal"/>
        <w:spacing w:lineRule="auto" w:line="360"/>
        <w:jc w:val="both"/>
        <w:rPr>
          <w:rFonts w:ascii="Times New Roman" w:hAnsi="Times New Roman" w:cs="Times New Roman"/>
          <w:sz w:val="24"/>
          <w:szCs w:val="24"/>
        </w:rPr>
      </w:pPr>
      <w:r>
        <w:rPr>
          <w:rFonts w:eastAsia="Times New Roman" w:cs="Times New Roman" w:ascii="Times New Roman" w:hAnsi="Times New Roman"/>
          <w:position w:val="-24"/>
          <w:sz w:val="24"/>
          <w:szCs w:val="24"/>
          <w:lang w:eastAsia="cs-CZ"/>
        </w:rPr>
        <w:t xml:space="preserve">kde </w:t>
      </w:r>
      <w:r>
        <w:rPr>
          <w:rFonts w:eastAsia="Times New Roman" w:cs="Times New Roman" w:ascii="Times New Roman" w:hAnsi="Times New Roman"/>
          <w:i/>
          <w:position w:val="-24"/>
          <w:sz w:val="24"/>
          <w:szCs w:val="24"/>
          <w:lang w:eastAsia="cs-CZ"/>
        </w:rPr>
        <w:t>GIM</w:t>
      </w:r>
      <w:r>
        <w:rPr>
          <w:rFonts w:eastAsia="Times New Roman" w:cs="Times New Roman" w:ascii="Times New Roman" w:hAnsi="Times New Roman"/>
          <w:position w:val="-24"/>
          <w:sz w:val="24"/>
          <w:szCs w:val="24"/>
          <w:lang w:eastAsia="cs-CZ"/>
        </w:rPr>
        <w:t xml:space="preserve"> sú celkové výdavky vlády na inkluzívny trh v bežných cenách a pracuje sa s predpokladom, že nemzdové výdavky z celkovej sumy výdavkov, ktoré sú vynaložené na inkluzívny trh, predstavujú 30 %.</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Hrubý domáci produkt vzťahujúci sa na inkluzívny trh je modelovaný ako:</w:t>
      </w:r>
    </w:p>
    <w:p>
      <w:pPr>
        <w:pStyle w:val="Normal"/>
        <w:spacing w:lineRule="auto" w:line="360"/>
        <w:ind w:left="3540" w:firstLine="708"/>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YIM</m:t>
            </m:r>
          </m:e>
          <m:sub>
            <m:r>
              <w:rPr>
                <w:rFonts w:ascii="Cambria Math" w:hAnsi="Cambria Math"/>
              </w:rPr>
              <m:t xml:space="preserve">t</m:t>
            </m:r>
          </m:sub>
        </m:sSub>
        <m:r>
          <w:rPr>
            <w:rFonts w:ascii="Cambria Math" w:hAnsi="Cambria Math"/>
          </w:rPr>
          <m:t xml:space="preserve">=</m:t>
        </m:r>
        <m:f>
          <m:num>
            <m:sSub>
              <m:e>
                <m:r>
                  <m:rPr>
                    <m:lit/>
                    <m:nor/>
                  </m:rPr>
                  <w:rPr>
                    <w:rFonts w:ascii="Cambria Math" w:hAnsi="Cambria Math"/>
                  </w:rPr>
                  <m:t xml:space="preserve">GIM</m:t>
                </m:r>
              </m:e>
              <m:sub>
                <m:r>
                  <w:rPr>
                    <w:rFonts w:ascii="Cambria Math" w:hAnsi="Cambria Math"/>
                  </w:rPr>
                  <m:t xml:space="preserve">t</m:t>
                </m:r>
              </m:sub>
            </m:sSub>
          </m:num>
          <m:den>
            <m:sSub>
              <m:e>
                <m:r>
                  <w:rPr>
                    <w:rFonts w:ascii="Cambria Math" w:hAnsi="Cambria Math"/>
                  </w:rPr>
                  <m:t xml:space="preserve">P</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ab/>
        <w:tab/>
        <w:tab/>
        <w:t>(46)</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 xml:space="preserve">kde </w:t>
      </w:r>
      <w:r>
        <w:rPr>
          <w:rFonts w:eastAsia="Times New Roman" w:cs="Times New Roman" w:ascii="Times New Roman" w:hAnsi="Times New Roman"/>
          <w:i/>
          <w:position w:val="-26"/>
          <w:sz w:val="24"/>
          <w:szCs w:val="24"/>
          <w:lang w:eastAsia="cs-CZ"/>
        </w:rPr>
        <w:t>YIM</w:t>
      </w:r>
      <w:r>
        <w:rPr>
          <w:rFonts w:eastAsia="Times New Roman" w:cs="Times New Roman" w:ascii="Times New Roman" w:hAnsi="Times New Roman"/>
          <w:position w:val="-26"/>
          <w:sz w:val="24"/>
          <w:szCs w:val="24"/>
          <w:lang w:eastAsia="cs-CZ"/>
        </w:rPr>
        <w:t xml:space="preserve"> je hrubý domáci produkt vyprodukovaný na inkluzívnom trhu vyjadrený v stálych cenách.</w:t>
      </w:r>
    </w:p>
    <w:p>
      <w:pPr>
        <w:pStyle w:val="Normal"/>
        <w:spacing w:lineRule="auto" w:line="360"/>
        <w:jc w:val="both"/>
        <w:rPr>
          <w:position w:val="0"/>
          <w:sz w:val="22"/>
          <w:sz w:val="22"/>
          <w:vertAlign w:val="baseline"/>
        </w:rPr>
      </w:pPr>
      <w:r>
        <w:rPr>
          <w:rFonts w:cs="Times New Roman" w:ascii="Times New Roman" w:hAnsi="Times New Roman"/>
          <w:position w:val="0"/>
          <w:sz w:val="24"/>
          <w:sz w:val="24"/>
          <w:szCs w:val="24"/>
          <w:vertAlign w:val="baseline"/>
        </w:rPr>
        <w:t>Model ako posledný vzťah v rámci inkluzívneho trhu zachytáva celkový marginálny produkt práce ekonomiky v tvare:</w:t>
      </w:r>
    </w:p>
    <w:p>
      <w:pPr>
        <w:pStyle w:val="Normal"/>
        <w:spacing w:lineRule="auto" w:line="360"/>
        <w:ind w:left="3540" w:firstLine="708"/>
        <w:rPr>
          <w:rFonts w:ascii="Times New Roman" w:hAnsi="Times New Roman" w:eastAsia="Times New Roman" w:cs="Times New Roman"/>
          <w:sz w:val="24"/>
          <w:szCs w:val="24"/>
          <w:lang w:val="en-US" w:eastAsia="cs-CZ"/>
        </w:rPr>
      </w:pPr>
      <w:r>
        <w:rPr/>
      </w:r>
      <m:oMath xmlns:m="http://schemas.openxmlformats.org/officeDocument/2006/math">
        <m:sSub>
          <m:e>
            <m:r>
              <m:rPr>
                <m:lit/>
                <m:nor/>
              </m:rPr>
              <w:rPr>
                <w:rFonts w:ascii="Cambria Math" w:hAnsi="Cambria Math"/>
              </w:rPr>
              <m:t xml:space="preserve">MPLT</m:t>
            </m:r>
          </m:e>
          <m:sub>
            <m:r>
              <w:rPr>
                <w:rFonts w:ascii="Cambria Math" w:hAnsi="Cambria Math"/>
              </w:rPr>
              <m:t xml:space="preserve">t</m:t>
            </m:r>
          </m:sub>
        </m:sSub>
        <m:r>
          <w:rPr>
            <w:rFonts w:ascii="Cambria Math" w:hAnsi="Cambria Math"/>
          </w:rPr>
          <m:t xml:space="preserve">=</m:t>
        </m:r>
        <m:f>
          <m:num>
            <m:d>
              <m:dPr>
                <m:begChr m:val="("/>
                <m:endChr m:val=")"/>
              </m:dPr>
              <m:e>
                <m:r>
                  <w:rPr>
                    <w:rFonts w:ascii="Cambria Math" w:hAnsi="Cambria Math"/>
                  </w:rPr>
                  <m:t xml:space="preserve">1</m:t>
                </m:r>
                <m:r>
                  <w:rPr>
                    <w:rFonts w:ascii="Cambria Math" w:hAnsi="Cambria Math"/>
                  </w:rPr>
                  <m:t xml:space="preserve">−</m:t>
                </m:r>
                <m:sSub>
                  <m:e>
                    <m:r>
                      <w:rPr>
                        <w:rFonts w:ascii="Cambria Math" w:hAnsi="Cambria Math"/>
                      </w:rPr>
                      <m:t xml:space="preserve">α</m:t>
                    </m:r>
                  </m:e>
                  <m:sub>
                    <m:r>
                      <w:rPr>
                        <w:rFonts w:ascii="Cambria Math" w:hAnsi="Cambria Math"/>
                      </w:rPr>
                      <m:t xml:space="preserve">t</m:t>
                    </m:r>
                  </m:sub>
                </m:sSub>
              </m:e>
            </m:d>
            <m:r>
              <w:rPr>
                <w:rFonts w:ascii="Cambria Math" w:hAnsi="Cambria Math"/>
              </w:rPr>
              <m:t xml:space="preserve">⋅</m:t>
            </m:r>
            <m:sSub>
              <m:e>
                <m:r>
                  <m:rPr>
                    <m:lit/>
                    <m:nor/>
                  </m:rPr>
                  <w:rPr>
                    <w:rFonts w:ascii="Cambria Math" w:hAnsi="Cambria Math"/>
                  </w:rPr>
                  <m:t xml:space="preserve">TY</m:t>
                </m:r>
              </m:e>
              <m:sub>
                <m:r>
                  <w:rPr>
                    <w:rFonts w:ascii="Cambria Math" w:hAnsi="Cambria Math"/>
                  </w:rPr>
                  <m:t xml:space="preserve">t</m:t>
                </m:r>
              </m:sub>
            </m:sSub>
          </m:num>
          <m:den>
            <m:sSub>
              <m:e>
                <m:r>
                  <m:rPr>
                    <m:lit/>
                    <m:nor/>
                  </m:rPr>
                  <w:rPr>
                    <w:rFonts w:ascii="Cambria Math" w:hAnsi="Cambria Math"/>
                  </w:rPr>
                  <m:t xml:space="preserve">LD</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LEIM</m:t>
                </m:r>
              </m:e>
              <m:sub>
                <m:r>
                  <w:rPr>
                    <w:rFonts w:ascii="Cambria Math" w:hAnsi="Cambria Math"/>
                  </w:rPr>
                  <m:t xml:space="preserve">t</m:t>
                </m:r>
              </m:sub>
            </m:sSub>
            <m:sSub>
              <m:e>
                <m:r>
                  <m:rPr>
                    <m:lit/>
                    <m:nor/>
                  </m:rPr>
                  <w:rPr>
                    <w:rFonts w:ascii="Cambria Math" w:hAnsi="Cambria Math"/>
                  </w:rPr>
                  <m:t xml:space="preserve">QLD</m:t>
                </m:r>
              </m:e>
              <m:sub>
                <m:r>
                  <w:rPr>
                    <w:rFonts w:ascii="Cambria Math" w:hAnsi="Cambria Math"/>
                  </w:rPr>
                  <m:t xml:space="preserve">t</m:t>
                </m:r>
              </m:sub>
            </m:sSub>
            <m:sSub>
              <m:e>
                <m:r>
                  <m:rPr>
                    <m:lit/>
                    <m:nor/>
                  </m:rPr>
                  <w:rPr>
                    <w:rFonts w:ascii="Cambria Math" w:hAnsi="Cambria Math"/>
                  </w:rPr>
                  <m:t xml:space="preserve">QWT</m:t>
                </m:r>
              </m:e>
              <m:sub>
                <m:r>
                  <w:rPr>
                    <w:rFonts w:ascii="Cambria Math" w:hAnsi="Cambria Math"/>
                  </w:rPr>
                  <m:t xml:space="preserve">t</m:t>
                </m:r>
              </m:sub>
            </m:sSub>
          </m:den>
        </m:f>
      </m:oMath>
      <w:r>
        <w:rPr>
          <w:rFonts w:eastAsia="Times New Roman" w:cs="Times New Roman" w:ascii="Times New Roman" w:hAnsi="Times New Roman"/>
          <w:position w:val="-26"/>
          <w:sz w:val="24"/>
          <w:szCs w:val="24"/>
          <w:lang w:val="en-US" w:eastAsia="cs-CZ"/>
        </w:rPr>
        <w:tab/>
        <w:tab/>
        <w:t>(47)</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position w:val="-26"/>
          <w:sz w:val="24"/>
          <w:szCs w:val="24"/>
          <w:lang w:eastAsia="cs-CZ"/>
        </w:rPr>
        <w:t>daný vzťah je zachytený v dôsledku vzniku efektu inkluzívneho trhu, ktorý vplýva na celkovú produktivitu krajiny. Vo vzťahu MPLT je marginálny produkt práce celej ekonomiky vo východiskovom modeli v stálych cenách roku 2010, ďalej:</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α</w:t>
      </w:r>
      <w:r>
        <w:rPr>
          <w:rFonts w:eastAsia="Times New Roman" w:cs="Times New Roman" w:ascii="Times New Roman" w:hAnsi="Times New Roman"/>
          <w:position w:val="-26"/>
          <w:sz w:val="24"/>
          <w:szCs w:val="24"/>
          <w:lang w:eastAsia="cs-CZ"/>
        </w:rPr>
        <w:t xml:space="preserve"> je elasticita HDP voči vstupu kapitálu,</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TY</w:t>
      </w:r>
      <w:r>
        <w:rPr>
          <w:rFonts w:eastAsia="Times New Roman" w:cs="Times New Roman" w:ascii="Times New Roman" w:hAnsi="Times New Roman"/>
          <w:position w:val="-26"/>
          <w:sz w:val="24"/>
          <w:szCs w:val="24"/>
          <w:lang w:eastAsia="cs-CZ"/>
        </w:rPr>
        <w:t xml:space="preserve"> je hrubý domáci produkt celej ekonomiky rovnako v stálych cenách roku 2010,</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LD</w:t>
      </w:r>
      <w:r>
        <w:rPr>
          <w:rFonts w:eastAsia="Times New Roman" w:cs="Times New Roman" w:ascii="Times New Roman" w:hAnsi="Times New Roman"/>
          <w:position w:val="-26"/>
          <w:sz w:val="24"/>
          <w:szCs w:val="24"/>
          <w:lang w:eastAsia="cs-CZ"/>
        </w:rPr>
        <w:t xml:space="preserve"> počet odpracovaných hodín,</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LEIM</w:t>
      </w:r>
      <w:r>
        <w:rPr>
          <w:rFonts w:eastAsia="Times New Roman" w:cs="Times New Roman" w:ascii="Times New Roman" w:hAnsi="Times New Roman"/>
          <w:position w:val="-26"/>
          <w:sz w:val="24"/>
          <w:szCs w:val="24"/>
          <w:lang w:eastAsia="cs-CZ"/>
        </w:rPr>
        <w:t xml:space="preserve"> počet inkluzívnych zamestnancov,</w:t>
      </w:r>
    </w:p>
    <w:p>
      <w:pPr>
        <w:pStyle w:val="Normal"/>
        <w:spacing w:lineRule="auto" w:line="360"/>
        <w:jc w:val="both"/>
        <w:rPr>
          <w:rFonts w:ascii="Times New Roman" w:hAnsi="Times New Roman" w:eastAsia="Times New Roman" w:cs="Times New Roman"/>
          <w:sz w:val="24"/>
          <w:szCs w:val="24"/>
          <w:lang w:eastAsia="cs-CZ"/>
        </w:rPr>
      </w:pPr>
      <w:r>
        <w:rPr>
          <w:rFonts w:eastAsia="Times New Roman" w:cs="Times New Roman" w:ascii="Times New Roman" w:hAnsi="Times New Roman"/>
          <w:i/>
          <w:position w:val="-26"/>
          <w:sz w:val="24"/>
          <w:szCs w:val="24"/>
          <w:lang w:eastAsia="cs-CZ"/>
        </w:rPr>
        <w:t>QWT</w:t>
      </w:r>
      <w:r>
        <w:rPr>
          <w:rFonts w:eastAsia="Times New Roman" w:cs="Times New Roman" w:ascii="Times New Roman" w:hAnsi="Times New Roman"/>
          <w:position w:val="-26"/>
          <w:sz w:val="24"/>
          <w:szCs w:val="24"/>
          <w:lang w:eastAsia="cs-CZ"/>
        </w:rPr>
        <w:t xml:space="preserve"> počet hodín pripadajúcich na jedného zamestnanca ročne,</w:t>
      </w:r>
    </w:p>
    <w:p>
      <w:pPr>
        <w:pStyle w:val="Normal"/>
        <w:spacing w:lineRule="auto" w:line="360"/>
        <w:jc w:val="both"/>
        <w:rPr>
          <w:rFonts w:ascii="Times New Roman" w:hAnsi="Times New Roman" w:eastAsia="Times New Roman" w:cs="Times New Roman"/>
          <w:sz w:val="24"/>
          <w:szCs w:val="24"/>
          <w:lang w:val="en-US" w:eastAsia="cs-CZ"/>
        </w:rPr>
      </w:pPr>
      <w:r>
        <w:rPr>
          <w:rFonts w:eastAsia="Times New Roman" w:cs="Times New Roman" w:ascii="Times New Roman" w:hAnsi="Times New Roman"/>
          <w:i/>
          <w:position w:val="-26"/>
          <w:sz w:val="24"/>
          <w:szCs w:val="24"/>
          <w:lang w:eastAsia="cs-CZ"/>
        </w:rPr>
        <w:t>QLD</w:t>
      </w:r>
      <w:r>
        <w:rPr>
          <w:rFonts w:eastAsia="Times New Roman" w:cs="Times New Roman" w:ascii="Times New Roman" w:hAnsi="Times New Roman"/>
          <w:position w:val="-26"/>
          <w:sz w:val="24"/>
          <w:szCs w:val="24"/>
          <w:lang w:eastAsia="cs-CZ"/>
        </w:rPr>
        <w:t xml:space="preserve"> kalibračná konštanta.</w:t>
      </w:r>
    </w:p>
    <w:p>
      <w:pPr>
        <w:pStyle w:val="Normal"/>
        <w:spacing w:lineRule="auto" w:line="360"/>
        <w:rPr>
          <w:rFonts w:ascii="Times New Roman" w:hAnsi="Times New Roman" w:eastAsia="Times New Roman" w:cs="Times New Roman"/>
          <w:b/>
          <w:b/>
          <w:sz w:val="28"/>
          <w:szCs w:val="24"/>
          <w:lang w:eastAsia="cs-CZ"/>
        </w:rPr>
      </w:pPr>
      <w:r>
        <w:rPr>
          <w:rFonts w:eastAsia="Times New Roman" w:cs="Times New Roman" w:ascii="Times New Roman" w:hAnsi="Times New Roman"/>
          <w:b/>
          <w:sz w:val="28"/>
          <w:szCs w:val="24"/>
          <w:lang w:eastAsia="cs-CZ"/>
        </w:rPr>
      </w:r>
    </w:p>
    <w:p>
      <w:pPr>
        <w:pStyle w:val="Heading2"/>
        <w:rPr>
          <w:rFonts w:ascii="Times New Roman" w:hAnsi="Times New Roman" w:eastAsia="Times New Roman" w:cs="Times New Roman"/>
          <w:b/>
          <w:b/>
          <w:sz w:val="28"/>
          <w:szCs w:val="24"/>
          <w:lang w:eastAsia="cs-CZ"/>
        </w:rPr>
      </w:pPr>
      <w:r>
        <w:rPr/>
        <w:t>Referencie</w:t>
      </w:r>
    </w:p>
    <w:p>
      <w:pPr>
        <w:pStyle w:val="Bibliography"/>
        <w:jc w:val="left"/>
        <w:rPr/>
      </w:pPr>
      <w:r>
        <w:rPr>
          <w:rFonts w:cs="Times New Roman" w:ascii="Times New Roman" w:hAnsi="Times New Roman"/>
          <w:sz w:val="24"/>
        </w:rPr>
        <w:t>Baumgartner, Josef, Helmut Hofer, Serguei Kaniovski, Ulrich Schuh, and Thomas Url. 2004. “A Long-Run Macroeconomic Model of the Austrian Economy (A-LMM). Model Documentation and Simulations,” August.</w:t>
      </w:r>
    </w:p>
    <w:p>
      <w:pPr>
        <w:pStyle w:val="Bibliography"/>
        <w:jc w:val="left"/>
        <w:rPr/>
      </w:pPr>
      <w:r>
        <w:rPr>
          <w:rFonts w:cs="Times New Roman" w:ascii="Times New Roman" w:hAnsi="Times New Roman"/>
          <w:sz w:val="24"/>
        </w:rPr>
        <w:t>Blanchard, Olivier, and Stanley Fischer. 1989. “Lectures on Macroeconomics.” MIT Press Books. The MIT Press. https://econpapers.repec.org/bookchap/mtptitles/0262022834.htm.</w:t>
      </w:r>
    </w:p>
    <w:p>
      <w:pPr>
        <w:pStyle w:val="Bibliography"/>
        <w:jc w:val="left"/>
        <w:rPr/>
      </w:pPr>
      <w:r>
        <w:rPr>
          <w:rFonts w:cs="Times New Roman" w:ascii="Times New Roman" w:hAnsi="Times New Roman"/>
          <w:sz w:val="24"/>
        </w:rPr>
        <w:t xml:space="preserve">Viliam, Páleník et al. 2015. </w:t>
      </w:r>
      <w:r>
        <w:rPr>
          <w:rFonts w:cs="Times New Roman" w:ascii="Times New Roman" w:hAnsi="Times New Roman"/>
          <w:i/>
          <w:iCs/>
          <w:sz w:val="24"/>
        </w:rPr>
        <w:t>Inkluzívny rast v Stratégii Európa 2020: Naivita Alebo Genialita?</w:t>
      </w:r>
      <w:r>
        <w:rPr>
          <w:rFonts w:cs="Times New Roman" w:ascii="Times New Roman" w:hAnsi="Times New Roman"/>
          <w:sz w:val="24"/>
        </w:rPr>
        <w:t xml:space="preserve"> Bratislava: Ekonomický ústav Slovenskej akadémie vied.</w:t>
      </w:r>
    </w:p>
    <w:p>
      <w:pPr>
        <w:pStyle w:val="Normal"/>
        <w:jc w:val="left"/>
        <w:rPr>
          <w:rFonts w:ascii="Times New Roman" w:hAnsi="Times New Roman" w:cs="Times New Roman"/>
          <w:sz w:val="24"/>
        </w:rPr>
      </w:pPr>
      <w:r>
        <w:rPr>
          <w:rFonts w:cs="Times New Roman" w:ascii="Times New Roman" w:hAnsi="Times New Roman"/>
          <w:sz w:val="24"/>
        </w:rPr>
      </w:r>
    </w:p>
    <w:p>
      <w:pPr>
        <w:pStyle w:val="Normal"/>
        <w:spacing w:lineRule="auto" w:line="360"/>
        <w:jc w:val="both"/>
        <w:rPr>
          <w:rFonts w:cs="Calibri"/>
          <w:sz w:val="24"/>
          <w:szCs w:val="24"/>
        </w:rPr>
      </w:pPr>
      <w:r>
        <w:rPr>
          <w:rFonts w:cs="Calibri"/>
          <w:sz w:val="24"/>
          <w:szCs w:val="24"/>
        </w:rPr>
        <w:t xml:space="preserve">viac o starnutí populácie: </w:t>
      </w:r>
      <w:hyperlink r:id="rId2">
        <w:r>
          <w:rPr>
            <w:rStyle w:val="InternetLink"/>
            <w:rFonts w:cs="Calibri"/>
            <w:sz w:val="24"/>
            <w:szCs w:val="24"/>
          </w:rPr>
          <w:t>https://www.iz.sk/sk/projekty/starnutie-populacie</w:t>
        </w:r>
      </w:hyperlink>
      <w:hyperlink r:id="rId3">
        <w:r>
          <w:rPr>
            <w:rFonts w:cs="Calibri"/>
            <w:sz w:val="24"/>
            <w:szCs w:val="24"/>
          </w:rPr>
          <w:t xml:space="preserve"> </w:t>
        </w:r>
      </w:hyperlink>
    </w:p>
    <w:p>
      <w:pPr>
        <w:pStyle w:val="Normal"/>
        <w:shd w:val="clear" w:fill="FFFFFF"/>
        <w:spacing w:lineRule="auto" w:line="360" w:before="0" w:after="0"/>
        <w:jc w:val="both"/>
        <w:rPr/>
      </w:pPr>
      <w:r>
        <w:rPr/>
        <w:drawing>
          <wp:inline distT="0" distB="0" distL="0" distR="0">
            <wp:extent cx="2397760" cy="799465"/>
            <wp:effectExtent l="0" t="0" r="0" b="0"/>
            <wp:docPr id="1" name="image2.png" descr="logo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logo projektu"/>
                    <pic:cNvPicPr>
                      <a:picLocks noChangeAspect="1" noChangeArrowheads="1"/>
                    </pic:cNvPicPr>
                  </pic:nvPicPr>
                  <pic:blipFill>
                    <a:blip r:embed="rId4"/>
                    <a:stretch>
                      <a:fillRect/>
                    </a:stretch>
                  </pic:blipFill>
                  <pic:spPr bwMode="auto">
                    <a:xfrm>
                      <a:off x="0" y="0"/>
                      <a:ext cx="2397760" cy="799465"/>
                    </a:xfrm>
                    <a:prstGeom prst="rect">
                      <a:avLst/>
                    </a:prstGeom>
                  </pic:spPr>
                </pic:pic>
              </a:graphicData>
            </a:graphic>
          </wp:inline>
        </w:drawing>
      </w:r>
    </w:p>
    <w:p>
      <w:pPr>
        <w:pStyle w:val="Normal"/>
        <w:shd w:val="clear" w:fill="FFFFFF"/>
        <w:spacing w:lineRule="auto" w:line="360" w:before="0" w:after="0"/>
        <w:jc w:val="both"/>
        <w:rPr/>
      </w:pPr>
      <w:r>
        <w:rPr>
          <w:rFonts w:cs="Calibri"/>
          <w:color w:val="000000"/>
          <w:sz w:val="20"/>
          <w:szCs w:val="20"/>
        </w:rPr>
        <w:t>Tento článok je súčasťou projektu </w:t>
      </w:r>
      <w:hyperlink r:id="rId5">
        <w:r>
          <w:rPr>
            <w:rFonts w:cs="Calibri"/>
            <w:color w:val="0F0E13"/>
            <w:sz w:val="20"/>
            <w:szCs w:val="20"/>
            <w:u w:val="single"/>
          </w:rPr>
          <w:t>Politiky zamestnanosti</w:t>
        </w:r>
      </w:hyperlink>
      <w:r>
        <w:rPr>
          <w:rFonts w:cs="Calibri"/>
          <w:sz w:val="20"/>
          <w:szCs w:val="20"/>
        </w:rPr>
        <w:t xml:space="preserve"> </w:t>
      </w:r>
      <w:r>
        <w:rPr>
          <w:rFonts w:cs="Calibri"/>
          <w:color w:val="000000"/>
          <w:sz w:val="20"/>
          <w:szCs w:val="20"/>
        </w:rPr>
        <w:t>realizovaného Inštitútom zamestnanosti. Tento projekt je podporený z Európskeho sociálneho fondu v rámci </w:t>
      </w:r>
      <w:hyperlink r:id="rId6">
        <w:r>
          <w:rPr>
            <w:rFonts w:cs="Calibri"/>
            <w:color w:val="0F0E13"/>
            <w:sz w:val="20"/>
            <w:szCs w:val="20"/>
            <w:u w:val="single"/>
          </w:rPr>
          <w:t>OP EVS</w:t>
        </w:r>
      </w:hyperlink>
      <w:r>
        <w:rPr>
          <w:rFonts w:cs="Calibri"/>
          <w:color w:val="000000"/>
          <w:sz w:val="20"/>
          <w:szCs w:val="20"/>
        </w:rPr>
        <w:t>.</w:t>
      </w:r>
    </w:p>
    <w:p>
      <w:pPr>
        <w:pStyle w:val="Normal"/>
        <w:spacing w:lineRule="auto" w:line="360" w:before="0" w:after="0"/>
        <w:rPr>
          <w:rFonts w:cs="Calibri"/>
          <w:b/>
          <w:b/>
          <w:color w:val="000000"/>
          <w:sz w:val="20"/>
          <w:szCs w:val="20"/>
        </w:rPr>
      </w:pPr>
      <w:r>
        <w:rPr>
          <w:rFonts w:cs="Calibri"/>
          <w:b/>
          <w:color w:val="000000"/>
          <w:sz w:val="20"/>
          <w:szCs w:val="20"/>
        </w:rPr>
      </w:r>
    </w:p>
    <w:p>
      <w:pPr>
        <w:pStyle w:val="Caption"/>
        <w:spacing w:lineRule="auto" w:line="360" w:before="0" w:after="140"/>
        <w:jc w:val="both"/>
        <w:rPr/>
      </w:pPr>
      <w:r>
        <w:rPr>
          <w:rFonts w:cs="Calibri"/>
          <w:b/>
          <w:bCs/>
          <w:i w:val="false"/>
          <w:caps w:val="false"/>
          <w:smallCaps w:val="false"/>
          <w:color w:val="000000"/>
          <w:spacing w:val="0"/>
          <w:sz w:val="20"/>
          <w:szCs w:val="20"/>
        </w:rPr>
        <w:t>Aktivita:</w:t>
      </w:r>
      <w:r>
        <w:rPr>
          <w:rFonts w:cs="Calibri"/>
          <w:b w:val="false"/>
          <w:i w:val="false"/>
          <w:caps w:val="false"/>
          <w:smallCaps w:val="false"/>
          <w:color w:val="000000"/>
          <w:spacing w:val="0"/>
          <w:sz w:val="20"/>
          <w:szCs w:val="20"/>
        </w:rPr>
        <w:t xml:space="preserve"> </w:t>
      </w:r>
      <w:r>
        <w:rPr>
          <w:rFonts w:cs="Calibri"/>
          <w:b w:val="false"/>
          <w:i w:val="false"/>
          <w:iCs/>
          <w:caps w:val="false"/>
          <w:smallCaps w:val="false"/>
          <w:color w:val="000000"/>
          <w:spacing w:val="0"/>
          <w:sz w:val="20"/>
          <w:szCs w:val="20"/>
        </w:rPr>
        <w:t>Starnutie populácie</w:t>
      </w:r>
      <w:r>
        <w:rPr>
          <w:rFonts w:cs="Calibri"/>
          <w:b w:val="false"/>
          <w:i w:val="false"/>
          <w:caps w:val="false"/>
          <w:smallCaps w:val="false"/>
          <w:color w:val="000000"/>
          <w:spacing w:val="0"/>
          <w:sz w:val="20"/>
          <w:szCs w:val="20"/>
        </w:rPr>
        <w:t>, 2020</w:t>
      </w:r>
    </w:p>
    <w:p>
      <w:pPr>
        <w:pStyle w:val="Caption"/>
        <w:spacing w:lineRule="auto" w:line="360" w:before="0" w:after="140"/>
        <w:jc w:val="both"/>
        <w:rPr/>
      </w:pPr>
      <w:r>
        <w:rPr>
          <w:rFonts w:cs="Calibri"/>
          <w:b/>
          <w:bCs/>
          <w:i w:val="false"/>
          <w:caps w:val="false"/>
          <w:smallCaps w:val="false"/>
          <w:color w:val="000000"/>
          <w:spacing w:val="0"/>
          <w:sz w:val="20"/>
          <w:szCs w:val="20"/>
        </w:rPr>
        <w:t>Merateľný ukazovateľ:</w:t>
      </w:r>
      <w:r>
        <w:rPr>
          <w:rFonts w:cs="Calibri"/>
          <w:b w:val="false"/>
          <w:i w:val="false"/>
          <w:caps w:val="false"/>
          <w:smallCaps w:val="false"/>
          <w:color w:val="000000"/>
          <w:spacing w:val="0"/>
          <w:sz w:val="20"/>
          <w:szCs w:val="20"/>
        </w:rPr>
        <w:t xml:space="preserve"> P0</w:t>
      </w:r>
      <w:r>
        <w:rPr>
          <w:rFonts w:eastAsia="Calibri" w:cs="Calibri"/>
          <w:b w:val="false"/>
          <w:i w:val="false"/>
          <w:iCs/>
          <w:caps w:val="false"/>
          <w:smallCaps w:val="false"/>
          <w:color w:val="000000"/>
          <w:spacing w:val="0"/>
          <w:kern w:val="0"/>
          <w:sz w:val="20"/>
          <w:szCs w:val="20"/>
          <w:lang w:val="sk-SK" w:eastAsia="en-US" w:bidi="ar-SA"/>
        </w:rPr>
        <w:t>178</w:t>
      </w:r>
    </w:p>
    <w:p>
      <w:pPr>
        <w:pStyle w:val="Heading3"/>
        <w:numPr>
          <w:ilvl w:val="2"/>
          <w:numId w:val="3"/>
        </w:numPr>
        <w:spacing w:lineRule="auto" w:line="360" w:before="140" w:after="120"/>
        <w:jc w:val="both"/>
        <w:rPr/>
      </w:pPr>
      <w:r>
        <w:rPr>
          <w:rFonts w:cs="Calibri" w:ascii="Calibri" w:hAnsi="Calibri"/>
          <w:i w:val="false"/>
          <w:iCs w:val="false"/>
          <w:sz w:val="20"/>
          <w:szCs w:val="20"/>
        </w:rPr>
        <w:t xml:space="preserve">Súvis s projektom: </w:t>
      </w:r>
      <w:r>
        <w:rPr>
          <w:rFonts w:eastAsia="Liberation Sans" w:cs="Calibri" w:ascii="Calibri" w:hAnsi="Calibri"/>
          <w:b w:val="false"/>
          <w:i w:val="false"/>
          <w:iCs w:val="false"/>
          <w:sz w:val="20"/>
          <w:szCs w:val="20"/>
          <w:lang w:eastAsia="sk-SK"/>
        </w:rPr>
        <w:t xml:space="preserve">Tento koncepčný materiál </w:t>
      </w:r>
      <w:r>
        <w:rPr>
          <w:rFonts w:cs="Calibri" w:ascii="Calibri" w:hAnsi="Calibri"/>
          <w:b w:val="false"/>
          <w:i w:val="false"/>
          <w:iCs w:val="false"/>
          <w:sz w:val="20"/>
          <w:szCs w:val="20"/>
        </w:rPr>
        <w:t>súvisí s a</w:t>
      </w:r>
      <w:r>
        <w:rPr>
          <w:rFonts w:eastAsia="Calibri" w:cs="Calibri" w:ascii="Calibri" w:hAnsi="Calibri"/>
          <w:b w:val="false"/>
          <w:i w:val="false"/>
          <w:iCs w:val="false"/>
          <w:sz w:val="20"/>
          <w:szCs w:val="20"/>
        </w:rPr>
        <w:t xml:space="preserve">ktivitou 1, </w:t>
      </w:r>
      <w:r>
        <w:rPr>
          <w:rFonts w:eastAsia="Calibri" w:cs="Calibri" w:ascii="Calibri" w:hAnsi="Calibri" w:asciiTheme="minorHAnsi" w:eastAsiaTheme="minorHAnsi" w:hAnsiTheme="minorHAnsi"/>
          <w:b w:val="false"/>
          <w:i w:val="false"/>
          <w:iCs w:val="false"/>
          <w:color w:val="auto"/>
          <w:kern w:val="0"/>
          <w:sz w:val="20"/>
          <w:szCs w:val="20"/>
          <w:lang w:val="sk-SK" w:eastAsia="sk-SK" w:bidi="ar-SA"/>
        </w:rPr>
        <w:t>starnutie populácie</w:t>
      </w:r>
      <w:r>
        <w:rPr>
          <w:rFonts w:eastAsia="Calibri" w:cs="Calibri" w:ascii="Calibri" w:hAnsi="Calibri"/>
          <w:b w:val="false"/>
          <w:i w:val="false"/>
          <w:iCs w:val="false"/>
          <w:sz w:val="20"/>
          <w:szCs w:val="20"/>
        </w:rPr>
        <w:t xml:space="preserve">. </w:t>
      </w:r>
      <w:r>
        <w:rPr>
          <w:rFonts w:eastAsia="Calibri" w:cs="Times New Roman" w:ascii="Calibri" w:hAnsi="Calibri"/>
          <w:b w:val="false"/>
          <w:i w:val="false"/>
          <w:iCs w:val="false"/>
          <w:sz w:val="20"/>
          <w:szCs w:val="20"/>
        </w:rPr>
        <w:t>Popisovaný model je dlhodobý model makroekonomického rastu Slovenskej republiky. Model bol vytvorený za účelom modelovania vývoja SR, zohľadňujúc starnutie populácie a demografické zmeny slovenskej ekonomiky.</w:t>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egoe UI">
    <w:charset w:val="01"/>
    <w:family w:val="roman"/>
    <w:pitch w:val="variable"/>
  </w:font>
  <w:font w:name="Times New Roman">
    <w:charset w:val="01"/>
    <w:family w:val="roman"/>
    <w:pitch w:val="variable"/>
  </w:font>
  <w:font w:name="Times New Roman">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Pre podrobný popis východiskového modelu autori odporúčajú čitateľa na štúdium Páleník et al. </w:t>
      </w:r>
      <w:r>
        <w:fldChar w:fldCharType="begin"/>
      </w:r>
      <w:r>
        <w:rPr>
          <w:rFonts w:cs="Times New Roman" w:ascii="Times New Roman" w:hAnsi="Times New Roman"/>
        </w:rPr>
        <w:instrText>ADDIN ZOTERO_ITEM CSL_CITATION {"citationID":"GDRrqbiw","properties":{"formattedCitation":"(2015)","plainCitation":"(2015)","noteIndex":1},"citationItems":[{"id":120,"uris":["http://zotero.org/users/local/rHlOQBrW/items/B7L558QK"],"uri":["http://zotero.org/users/local/rHlOQBrW/items/B7L558QK"],"itemData":{"id":120,"type":"book","title":"Inkluzívny rast v stratégiiEurópa 2020: Naivita alebo genialita?","publisher":"Ekonomický ústav Slovenskej akadémie vied","publisher-place":"Bratislava","event-place":"Bratislava","ISBN":"978-80-7144-250-9","author":[{"family":"Viliam, Paleník et al.","given":""}],"issued":{"date-parts":[["2015"]]}},"suppress-author":true}],"schema":"https://github.com/citation-style-language/schema/raw/master/csl-citation.json"}</w:instrText>
      </w:r>
      <w:r>
        <w:rPr>
          <w:rFonts w:cs="Times New Roman" w:ascii="Times New Roman" w:hAnsi="Times New Roman"/>
        </w:rPr>
      </w:r>
      <w:r>
        <w:rPr>
          <w:rFonts w:cs="Times New Roman" w:ascii="Times New Roman" w:hAnsi="Times New Roman"/>
        </w:rPr>
        <w:fldChar w:fldCharType="separate"/>
      </w:r>
      <w:r>
        <w:rPr>
          <w:rFonts w:cs="Times New Roman" w:ascii="Times New Roman" w:hAnsi="Times New Roman"/>
        </w:rPr>
        <w:t>(2015)</w:t>
      </w:r>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w:t>
      </w:r>
    </w:p>
  </w:footnote>
  <w:footnote w:id="3">
    <w:p>
      <w:pPr>
        <w:pStyle w:val="Footnote"/>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V texte sú premenné označené indexom </w:t>
      </w:r>
      <w:r>
        <w:rPr>
          <w:rFonts w:cs="Times New Roman" w:ascii="Times New Roman" w:hAnsi="Times New Roman"/>
          <w:i/>
        </w:rPr>
        <w:t>t</w:t>
      </w:r>
      <w:r>
        <w:rPr>
          <w:rFonts w:cs="Times New Roman" w:ascii="Times New Roman" w:hAnsi="Times New Roman"/>
        </w:rPr>
        <w:t>, čo predstavuje čas.</w:t>
      </w:r>
    </w:p>
  </w:footnote>
  <w:footnote w:id="4">
    <w:p>
      <w:pPr>
        <w:pStyle w:val="Footnote"/>
        <w:jc w:val="both"/>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rPr>
        <w:t xml:space="preserve">Tobinovho </w:t>
      </w:r>
      <w:r>
        <w:rPr/>
      </w:r>
      <m:oMath xmlns:m="http://schemas.openxmlformats.org/officeDocument/2006/math">
        <m:r>
          <w:rPr>
            <w:rFonts w:ascii="Cambria Math" w:hAnsi="Cambria Math"/>
          </w:rPr>
          <m:t xml:space="preserve">Q</m:t>
        </m:r>
      </m:oMath>
      <w:r>
        <w:rPr>
          <w:rFonts w:eastAsia="" w:cs="Times New Roman" w:ascii="Times New Roman" w:hAnsi="Times New Roman" w:eastAsiaTheme="minorEastAsia"/>
        </w:rPr>
        <w:t xml:space="preserve"> je premenná, ktorá zachytáva budúci vývoj v modeli. Teoretická nekonečná suma, ktorá je aproximovaná prvými 11 pozorovaniami, resp. T=10. Presný výpočet pre uvádzaný východiskový model je uvedený v </w:t>
      </w:r>
      <w:r>
        <w:rPr>
          <w:rFonts w:cs="Times New Roman" w:ascii="Times New Roman" w:hAnsi="Times New Roman"/>
        </w:rPr>
        <w:t xml:space="preserve">Páleník et al. </w:t>
      </w:r>
      <w:r>
        <w:fldChar w:fldCharType="begin"/>
      </w:r>
      <w:r>
        <w:rPr>
          <w:rFonts w:cs="Times New Roman" w:ascii="Times New Roman" w:hAnsi="Times New Roman"/>
        </w:rPr>
        <w:instrText>ADDIN ZOTERO_ITEM CSL_CITATION {"citationID":"0uwoGlxy","properties":{"formattedCitation":"(2015)","plainCitation":"(2015)","noteIndex":3},"citationItems":[{"id":120,"uris":["http://zotero.org/users/local/rHlOQBrW/items/B7L558QK"],"uri":["http://zotero.org/users/local/rHlOQBrW/items/B7L558QK"],"itemData":{"id":120,"type":"book","title":"Inkluzívny rast v stratégiiEurópa 2020: Naivita alebo genialita?","publisher":"Ekonomický ústav Slovenskej akadémie vied","publisher-place":"Bratislava","event-place":"Bratislava","ISBN":"978-80-7144-250-9","author":[{"family":"Viliam, Paleník et al.","given":""}],"issued":{"date-parts":[["2015"]]}},"suppress-author":true}],"schema":"https://github.com/citation-style-language/schema/raw/master/csl-citation.json"}</w:instrText>
      </w:r>
      <w:r>
        <w:rPr>
          <w:rFonts w:cs="Times New Roman" w:ascii="Times New Roman" w:hAnsi="Times New Roman"/>
        </w:rPr>
      </w:r>
      <w:r>
        <w:rPr>
          <w:rFonts w:cs="Times New Roman" w:ascii="Times New Roman" w:hAnsi="Times New Roman"/>
        </w:rPr>
        <w:fldChar w:fldCharType="separate"/>
      </w:r>
      <w:r>
        <w:rPr>
          <w:rFonts w:cs="Times New Roman" w:ascii="Times New Roman" w:hAnsi="Times New Roman"/>
        </w:rPr>
        <w:t>(2015)</w:t>
      </w:r>
      <w:r>
        <w:rPr>
          <w:rFonts w:cs="Times New Roman" w:ascii="Times New Roman" w:hAnsi="Times New Roman"/>
        </w:rPr>
      </w:r>
      <w:r>
        <w:rPr>
          <w:rFonts w:cs="Times New Roman" w:ascii="Times New Roman" w:hAnsi="Times New Roman"/>
        </w:rPr>
        <w:fldChar w:fldCharType="end"/>
      </w:r>
      <w:r>
        <w:rPr>
          <w:rFonts w:cs="Times New Roman" w:ascii="Times New Roman" w:hAnsi="Times New Roman"/>
        </w:rPr>
        <w:t>.</w:t>
      </w:r>
    </w:p>
  </w:footnote>
  <w:footnote w:id="5">
    <w:p>
      <w:pPr>
        <w:pStyle w:val="Footnote"/>
        <w:rPr/>
      </w:pPr>
      <w:r>
        <w:rPr>
          <w:rStyle w:val="FootnoteCharacters"/>
        </w:rPr>
        <w:footnoteRef/>
      </w:r>
      <w:r>
        <w:rPr/>
        <w:t xml:space="preserve"> </w:t>
      </w:r>
      <w:r>
        <w:rPr/>
        <w:t>14 päťročných vekových kohort 0 – 14 rokov, 15 – 19 rokov, 20 – 24 rokov, ..., 70 – 74 rokov a viac ako 75 rokov.</w:t>
      </w:r>
    </w:p>
  </w:footnote>
  <w:footnote w:id="6">
    <w:p>
      <w:pPr>
        <w:pStyle w:val="Normal"/>
        <w:spacing w:before="0" w:after="160"/>
        <w:jc w:val="both"/>
        <w:rPr>
          <w:sz w:val="20"/>
          <w:szCs w:val="20"/>
        </w:rPr>
      </w:pPr>
      <w:r>
        <w:rPr>
          <w:rStyle w:val="FootnoteCharacters"/>
        </w:rPr>
        <w:footnoteRef/>
      </w:r>
      <w:r>
        <w:rPr/>
      </w:r>
      <m:oMath xmlns:m="http://schemas.openxmlformats.org/officeDocument/2006/math">
        <m:sSub>
          <m:e>
            <m:r>
              <m:rPr>
                <m:lit/>
                <m:nor/>
              </m:rPr>
              <w:rPr>
                <w:rFonts w:ascii="Cambria Math" w:hAnsi="Cambria Math"/>
              </w:rPr>
              <m:t xml:space="preserve">LTUR</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LTUR</m:t>
            </m:r>
          </m:e>
          <m:sub/>
        </m:sSub>
        <m:d>
          <m:dPr>
            <m:begChr m:val="("/>
            <m:endChr m:val=")"/>
          </m:dPr>
          <m:e>
            <m:sSub>
              <m:e>
                <m:r>
                  <m:rPr>
                    <m:lit/>
                    <m:nor/>
                  </m:rPr>
                  <w:rPr>
                    <w:rFonts w:ascii="Cambria Math" w:hAnsi="Cambria Math"/>
                  </w:rPr>
                  <m:t xml:space="preserve">LS</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LEM</m:t>
                </m:r>
              </m:e>
              <m:sub>
                <m:r>
                  <w:rPr>
                    <w:rFonts w:ascii="Cambria Math" w:hAnsi="Cambria Math"/>
                  </w:rPr>
                  <m:t xml:space="preserve">t</m:t>
                </m:r>
              </m:sub>
            </m:sSub>
          </m:e>
        </m:d>
        <m:r>
          <w:rPr>
            <w:rFonts w:ascii="Cambria Math" w:hAnsi="Cambria Math"/>
          </w:rPr>
          <m:t xml:space="preserve">−</m:t>
        </m:r>
        <m:sSub>
          <m:e>
            <m:r>
              <m:rPr>
                <m:lit/>
                <m:nor/>
              </m:rPr>
              <w:rPr>
                <w:rFonts w:ascii="Cambria Math" w:hAnsi="Cambria Math"/>
              </w:rPr>
              <m:t xml:space="preserve">LEIM</m:t>
            </m:r>
          </m:e>
          <m:sub>
            <m:r>
              <w:rPr>
                <w:rFonts w:ascii="Cambria Math" w:hAnsi="Cambria Math"/>
              </w:rPr>
              <m:t xml:space="preserve">t</m:t>
            </m:r>
          </m:sub>
        </m:sSub>
        <m:r>
          <w:rPr>
            <w:rFonts w:ascii="Cambria Math" w:hAnsi="Cambria Math"/>
          </w:rPr>
          <m:t xml:space="preserve">−</m:t>
        </m:r>
        <m:sSub>
          <m:e>
            <m:r>
              <m:rPr>
                <m:lit/>
                <m:nor/>
              </m:rPr>
              <w:rPr>
                <w:rFonts w:ascii="Cambria Math" w:hAnsi="Cambria Math"/>
              </w:rPr>
              <m:t xml:space="preserve">LEIM</m:t>
            </m:r>
          </m:e>
          <m:sub>
            <m:r>
              <w:rPr>
                <w:rFonts w:ascii="Cambria Math" w:hAnsi="Cambria Math"/>
              </w:rPr>
              <m:t xml:space="preserve">t</m:t>
            </m:r>
            <m:r>
              <w:rPr>
                <w:rFonts w:ascii="Cambria Math" w:hAnsi="Cambria Math"/>
              </w:rPr>
              <m:t xml:space="preserve">−</m:t>
            </m:r>
            <m:r>
              <w:rPr>
                <w:rFonts w:ascii="Cambria Math" w:hAnsi="Cambria Math"/>
              </w:rPr>
              <m:t xml:space="preserve">1</m:t>
            </m:r>
          </m:sub>
        </m:sSub>
        <m:sSub>
          <m:e>
            <m:r>
              <m:rPr>
                <m:lit/>
                <m:nor/>
              </m:rPr>
              <w:rPr>
                <w:rFonts w:ascii="Cambria Math" w:hAnsi="Cambria Math"/>
              </w:rPr>
              <m:t xml:space="preserve">RLTST</m:t>
            </m:r>
          </m:e>
          <m:sub>
            <m:r>
              <w:rPr>
                <w:rFonts w:ascii="Cambria Math" w:hAnsi="Cambria Math"/>
              </w:rPr>
              <m:t xml:space="preserve">t</m:t>
            </m:r>
          </m:sub>
        </m:sSub>
      </m:oMath>
      <w:r>
        <w:rPr>
          <w:rFonts w:eastAsia="Times New Roman" w:cs="Arial"/>
          <w:spacing w:val="-4"/>
          <w:position w:val="-9"/>
          <w:sz w:val="20"/>
          <w:szCs w:val="20"/>
          <w:lang w:val="en-US" w:eastAsia="cs-CZ"/>
        </w:rPr>
        <w:t xml:space="preserve"> </w:t>
      </w:r>
      <w:r>
        <w:rPr>
          <w:i/>
          <w:sz w:val="20"/>
          <w:szCs w:val="20"/>
        </w:rPr>
        <w:t>(LTUR</w:t>
      </w:r>
      <w:r>
        <w:rPr>
          <w:sz w:val="20"/>
          <w:szCs w:val="20"/>
        </w:rPr>
        <w:t xml:space="preserve"> miera dlhodobej nezamestnanosti ako podiel dlhodobo nezamestnaných na celkovej nezamestnanosti a </w:t>
      </w:r>
      <w:r>
        <w:rPr>
          <w:i/>
          <w:sz w:val="20"/>
          <w:szCs w:val="20"/>
        </w:rPr>
        <w:t>RLTST</w:t>
      </w:r>
      <w:r>
        <w:rPr>
          <w:sz w:val="20"/>
          <w:szCs w:val="20"/>
        </w:rPr>
        <w:t xml:space="preserve"> je exogénna premenná, ktorá zachytáva odchod inkluzívnych zamestnancov z inkluzívneho trhu na štandardný trh)</w:t>
      </w:r>
      <w:r>
        <w:rPr>
          <w:rFonts w:eastAsia="Times New Roman" w:cs="Arial"/>
          <w:spacing w:val="-4"/>
          <w:sz w:val="20"/>
          <w:szCs w:val="20"/>
          <w:lang w:val="en-US" w:eastAsia="cs-CZ"/>
        </w:rPr>
        <w:t>.</w:t>
      </w:r>
    </w:p>
  </w:footnote>
  <w:footnote w:id="7">
    <w:p>
      <w:pPr>
        <w:pStyle w:val="Footnote"/>
        <w:rPr/>
      </w:pPr>
      <w:r>
        <w:rPr>
          <w:rStyle w:val="FootnoteCharacters"/>
        </w:rPr>
        <w:footnoteRef/>
      </w:r>
      <w:r>
        <w:rPr/>
        <w:t xml:space="preserve"> </w:t>
      </w:r>
      <w:r>
        <w:rPr>
          <w:rFonts w:cs="Times New Roman" w:ascii="Times New Roman" w:hAnsi="Times New Roman"/>
        </w:rPr>
        <w:t>Napočítanie jednotlivých premenných v desagregovanej podobe sú uvedené v práci Páleník et al. (2015).</w:t>
      </w:r>
    </w:p>
  </w:footnote>
  <w:footnote w:id="8">
    <w:p>
      <w:pPr>
        <w:pStyle w:val="Footnote"/>
        <w:rPr>
          <w:rFonts w:ascii="Times New Roman" w:hAnsi="Times New Roman" w:cs="Times New Roman"/>
        </w:rPr>
      </w:pPr>
      <w:r>
        <w:rPr>
          <w:rStyle w:val="FootnoteCharacters"/>
        </w:rPr>
        <w:footnoteRef/>
      </w:r>
      <w:r>
        <w:rPr>
          <w:rFonts w:cs="Times New Roman" w:ascii="Times New Roman" w:hAnsi="Times New Roman"/>
        </w:rPr>
        <w:t xml:space="preserve"> </w:t>
      </w:r>
      <w:r>
        <w:rPr>
          <w:rFonts w:cs="Times New Roman" w:ascii="Times New Roman" w:hAnsi="Times New Roman"/>
          <w:i/>
          <w:szCs w:val="22"/>
        </w:rPr>
        <w:t>GC</w:t>
      </w:r>
      <w:r>
        <w:rPr>
          <w:rFonts w:cs="Times New Roman" w:ascii="Times New Roman" w:hAnsi="Times New Roman"/>
          <w:szCs w:val="22"/>
        </w:rPr>
        <w:t xml:space="preserve"> – spotreba vlády, ktorá je modelovaná v modeli prostredníctvom behaviorálnej funkcie, podrobne v práci </w:t>
      </w:r>
      <w:r>
        <w:rPr>
          <w:rFonts w:cs="Times New Roman" w:ascii="Times New Roman" w:hAnsi="Times New Roman"/>
        </w:rPr>
        <w:t>Páleník et al. (2015).</w:t>
      </w:r>
    </w:p>
    <w:p>
      <w:pPr>
        <w:pStyle w:val="Footnote"/>
        <w:rPr/>
      </w:pPr>
      <w:r>
        <w:rPr/>
      </w:r>
    </w:p>
  </w:footnote>
  <w:footnote w:id="9">
    <w:p>
      <w:pPr>
        <w:pStyle w:val="Footnote"/>
        <w:rPr>
          <w:rFonts w:ascii="Times New Roman" w:hAnsi="Times New Roman" w:cs="Times New Roman"/>
        </w:rPr>
      </w:pPr>
      <w:r>
        <w:rPr>
          <w:rStyle w:val="FootnoteCharacters"/>
        </w:rPr>
        <w:footnoteRef/>
      </w:r>
      <w:r>
        <w:rPr/>
        <w:drawing>
          <wp:inline distT="0" distB="0" distL="0" distR="0">
            <wp:extent cx="3257550" cy="190500"/>
            <wp:effectExtent l="0" t="0" r="0" b="0"/>
            <wp:docPr id="2" name="Obrázo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1" descr=""/>
                    <pic:cNvPicPr>
                      <a:picLocks noChangeAspect="1" noChangeArrowheads="1"/>
                    </pic:cNvPicPr>
                  </pic:nvPicPr>
                  <pic:blipFill>
                    <a:blip r:embed="rId1"/>
                    <a:stretch>
                      <a:fillRect/>
                    </a:stretch>
                  </pic:blipFill>
                  <pic:spPr bwMode="auto">
                    <a:xfrm>
                      <a:off x="0" y="0"/>
                      <a:ext cx="3257550" cy="190500"/>
                    </a:xfrm>
                    <a:prstGeom prst="rect">
                      <a:avLst/>
                    </a:prstGeom>
                  </pic:spPr>
                </pic:pic>
              </a:graphicData>
            </a:graphic>
          </wp:inline>
        </w:drawing>
      </w:r>
      <w:r>
        <w:rPr>
          <w:rFonts w:cs="Times New Roman" w:ascii="Times New Roman" w:hAnsi="Times New Roman"/>
        </w:rPr>
        <w:t xml:space="preserve"> </w:t>
      </w:r>
    </w:p>
    <w:p>
      <w:pPr>
        <w:pStyle w:val="Footnote"/>
        <w:rPr/>
      </w:pPr>
      <w:r>
        <w:rPr>
          <w:rFonts w:cs="Times New Roman" w:ascii="Times New Roman" w:hAnsi="Times New Roman"/>
          <w:i/>
        </w:rPr>
        <w:t>CAT</w:t>
      </w:r>
      <w:r>
        <w:rPr>
          <w:rFonts w:cs="Times New Roman" w:ascii="Times New Roman" w:hAnsi="Times New Roman"/>
        </w:rPr>
        <w:t xml:space="preserve"> - zahŕňa celkové úspory Slovenska </w:t>
      </w:r>
      <w:r>
        <w:rPr>
          <w:rFonts w:cs="Times New Roman" w:ascii="Times New Roman" w:hAnsi="Times New Roman"/>
          <w:i/>
        </w:rPr>
        <w:t>S</w:t>
      </w:r>
      <w:r>
        <w:rPr>
          <w:rFonts w:cs="Times New Roman" w:ascii="Times New Roman" w:hAnsi="Times New Roman"/>
        </w:rPr>
        <w:t xml:space="preserve"> napočítané z úspor domácností, vlády, podnikov a podielu úspor na celkových investíciách, </w:t>
      </w:r>
      <w:r>
        <w:rPr>
          <w:rFonts w:cs="Times New Roman" w:ascii="Times New Roman" w:hAnsi="Times New Roman"/>
          <w:i/>
        </w:rPr>
        <w:t>CONCAXM</w:t>
      </w:r>
      <w:r>
        <w:rPr>
          <w:rFonts w:cs="Times New Roman" w:ascii="Times New Roman" w:hAnsi="Times New Roman"/>
        </w:rPr>
        <w:t xml:space="preserve"> je kalibračnou konštantou.</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k-SK"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Normal"/>
    <w:next w:val="Normal"/>
    <w:qFormat/>
    <w:pPr>
      <w:keepNext w:val="true"/>
      <w:spacing w:before="140" w:after="120"/>
      <w:outlineLvl w:val="2"/>
    </w:pPr>
    <w:rPr>
      <w:rFonts w:ascii="Liberation Sans" w:hAnsi="Liberation Sans" w:eastAsia="Liberation Sans" w:cs="Liberation Sans"/>
      <w:b/>
      <w:sz w:val="28"/>
      <w:szCs w:val="28"/>
      <w:lang w:eastAsia="sk-SK"/>
    </w:rPr>
  </w:style>
  <w:style w:type="character" w:styleId="DefaultParagraphFont" w:default="1">
    <w:name w:val="Default Paragraph Font"/>
    <w:uiPriority w:val="1"/>
    <w:semiHidden/>
    <w:unhideWhenUsed/>
    <w:qFormat/>
    <w:rPr/>
  </w:style>
  <w:style w:type="character" w:styleId="TextbublinyChar" w:customStyle="1">
    <w:name w:val="Text bubliny Char"/>
    <w:basedOn w:val="DefaultParagraphFont"/>
    <w:link w:val="Textbubliny"/>
    <w:uiPriority w:val="99"/>
    <w:semiHidden/>
    <w:qFormat/>
    <w:rsid w:val="00da140b"/>
    <w:rPr>
      <w:rFonts w:ascii="Segoe UI" w:hAnsi="Segoe UI" w:cs="Segoe UI"/>
      <w:sz w:val="18"/>
      <w:szCs w:val="18"/>
    </w:rPr>
  </w:style>
  <w:style w:type="character" w:styleId="TextpoznmkypodiarouChar" w:customStyle="1">
    <w:name w:val="Text poznámky pod čiarou Char"/>
    <w:basedOn w:val="DefaultParagraphFont"/>
    <w:link w:val="Textpoznmkypodiarou"/>
    <w:uiPriority w:val="99"/>
    <w:qFormat/>
    <w:rsid w:val="003d5b59"/>
    <w:rPr>
      <w:sz w:val="20"/>
      <w:szCs w:val="20"/>
    </w:rPr>
  </w:style>
  <w:style w:type="character" w:styleId="FootnoteCharacters">
    <w:name w:val="Footnote Characters"/>
    <w:basedOn w:val="DefaultParagraphFont"/>
    <w:semiHidden/>
    <w:unhideWhenUsed/>
    <w:qFormat/>
    <w:rsid w:val="003d5b59"/>
    <w:rPr>
      <w:vertAlign w:val="superscript"/>
    </w:rPr>
  </w:style>
  <w:style w:type="character" w:styleId="FootnoteAnchor">
    <w:name w:val="Footnote Anchor"/>
    <w:rPr>
      <w:vertAlign w:val="superscript"/>
    </w:rPr>
  </w:style>
  <w:style w:type="character" w:styleId="PlaceholderText">
    <w:name w:val="Placeholder Text"/>
    <w:basedOn w:val="DefaultParagraphFont"/>
    <w:uiPriority w:val="99"/>
    <w:semiHidden/>
    <w:qFormat/>
    <w:rsid w:val="00945893"/>
    <w:rPr>
      <w:color w:val="808080"/>
    </w:rPr>
  </w:style>
  <w:style w:type="character" w:styleId="Annotationreference">
    <w:name w:val="annotation reference"/>
    <w:basedOn w:val="DefaultParagraphFont"/>
    <w:uiPriority w:val="99"/>
    <w:semiHidden/>
    <w:unhideWhenUsed/>
    <w:qFormat/>
    <w:rsid w:val="00093eb1"/>
    <w:rPr>
      <w:sz w:val="16"/>
      <w:szCs w:val="16"/>
    </w:rPr>
  </w:style>
  <w:style w:type="character" w:styleId="TextkomentraChar" w:customStyle="1">
    <w:name w:val="Text komentára Char"/>
    <w:basedOn w:val="DefaultParagraphFont"/>
    <w:link w:val="Textkomentra"/>
    <w:uiPriority w:val="99"/>
    <w:semiHidden/>
    <w:qFormat/>
    <w:rsid w:val="00093eb1"/>
    <w:rPr>
      <w:sz w:val="20"/>
      <w:szCs w:val="20"/>
    </w:rPr>
  </w:style>
  <w:style w:type="character" w:styleId="PredmetkomentraChar" w:customStyle="1">
    <w:name w:val="Predmet komentára Char"/>
    <w:basedOn w:val="TextkomentraChar"/>
    <w:link w:val="Predmetkomentra"/>
    <w:uiPriority w:val="99"/>
    <w:semiHidden/>
    <w:qFormat/>
    <w:rsid w:val="00093eb1"/>
    <w:rPr>
      <w:b/>
      <w:bCs/>
      <w:sz w:val="20"/>
      <w:szCs w:val="20"/>
    </w:rPr>
  </w:style>
  <w:style w:type="character" w:styleId="EndnoteAnchor">
    <w:name w:val="Endnote Anchor"/>
    <w:rPr>
      <w:vertAlign w:val="superscript"/>
    </w:rPr>
  </w:style>
  <w:style w:type="character" w:styleId="EndnoteCharacters">
    <w:name w:val="Endnote Characters"/>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bublinyChar"/>
    <w:uiPriority w:val="99"/>
    <w:semiHidden/>
    <w:unhideWhenUsed/>
    <w:qFormat/>
    <w:rsid w:val="00da140b"/>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bf7c16"/>
    <w:pPr>
      <w:spacing w:before="0" w:after="160"/>
      <w:ind w:left="720" w:hanging="0"/>
      <w:contextualSpacing/>
    </w:pPr>
    <w:rPr/>
  </w:style>
  <w:style w:type="paragraph" w:styleId="Footnote">
    <w:name w:val="Footnote Text"/>
    <w:basedOn w:val="Normal"/>
    <w:link w:val="TextpoznmkypodiarouChar"/>
    <w:unhideWhenUsed/>
    <w:rsid w:val="003d5b59"/>
    <w:pPr>
      <w:spacing w:lineRule="auto" w:line="240" w:before="0" w:after="0"/>
    </w:pPr>
    <w:rPr>
      <w:sz w:val="20"/>
      <w:szCs w:val="20"/>
    </w:rPr>
  </w:style>
  <w:style w:type="paragraph" w:styleId="Annotationtext">
    <w:name w:val="annotation text"/>
    <w:basedOn w:val="Normal"/>
    <w:link w:val="TextkomentraChar"/>
    <w:uiPriority w:val="99"/>
    <w:semiHidden/>
    <w:unhideWhenUsed/>
    <w:qFormat/>
    <w:rsid w:val="00093eb1"/>
    <w:pPr>
      <w:spacing w:lineRule="auto" w:line="240"/>
    </w:pPr>
    <w:rPr>
      <w:sz w:val="20"/>
      <w:szCs w:val="20"/>
    </w:rPr>
  </w:style>
  <w:style w:type="paragraph" w:styleId="Annotationsubject">
    <w:name w:val="annotation subject"/>
    <w:basedOn w:val="Annotationtext"/>
    <w:next w:val="Annotationtext"/>
    <w:link w:val="PredmetkomentraChar"/>
    <w:uiPriority w:val="99"/>
    <w:semiHidden/>
    <w:unhideWhenUsed/>
    <w:qFormat/>
    <w:rsid w:val="00093eb1"/>
    <w:pPr/>
    <w:rPr>
      <w:b/>
      <w:bCs/>
    </w:rPr>
  </w:style>
  <w:style w:type="paragraph" w:styleId="Bibliography">
    <w:name w:val="Bibliography"/>
    <w:basedOn w:val="Normal"/>
    <w:next w:val="Normal"/>
    <w:uiPriority w:val="37"/>
    <w:unhideWhenUsed/>
    <w:qFormat/>
    <w:rsid w:val="00f62ade"/>
    <w:pPr>
      <w:spacing w:lineRule="auto" w:line="240" w:before="0" w:after="0"/>
      <w:ind w:left="720" w:hanging="720"/>
    </w:pPr>
    <w:rPr/>
  </w:style>
  <w:style w:type="numbering" w:styleId="NoList" w:default="1">
    <w:name w:val="No List"/>
    <w:uiPriority w:val="99"/>
    <w:semiHidden/>
    <w:unhideWhenUsed/>
    <w:qFormat/>
  </w:style>
  <w:style w:type="table" w:default="1" w:styleId="Normlnatabu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z.sk/sk/projekty/starnutie-populacie" TargetMode="External"/><Relationship Id="rId3" Type="http://schemas.openxmlformats.org/officeDocument/2006/relationships/hyperlink" Target="" TargetMode="External"/><Relationship Id="rId4" Type="http://schemas.openxmlformats.org/officeDocument/2006/relationships/image" Target="media/image1.png"/><Relationship Id="rId5" Type="http://schemas.openxmlformats.org/officeDocument/2006/relationships/hyperlink" Target="https://www.iz.sk/sk/projekty/politiky-zamestnanosti" TargetMode="External"/><Relationship Id="rId6" Type="http://schemas.openxmlformats.org/officeDocument/2006/relationships/hyperlink" Target="http://www.minv.sk/?opevs" TargetMode="Externa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image" Target="media/image2.wmf"/>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0E3E1-7F7C-4792-8EAA-36E4062E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LibreOffice/7.0.1.2$Linux_X86_64 LibreOffice_project/00$Build-2</Application>
  <Pages>22</Pages>
  <Words>3212</Words>
  <Characters>19516</Characters>
  <CharactersWithSpaces>22713</CharactersWithSpaces>
  <Paragraphs>258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2020-07-27T13:52:00Z</dcterms:created>
  <dc:creator>Mirka ja</dc:creator>
  <dc:description/>
  <dc:language>sk-SK</dc:language>
  <cp:lastModifiedBy>Michal </cp:lastModifiedBy>
  <dcterms:modified xsi:type="dcterms:W3CDTF">2020-10-01T11:06:30Z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zotero-version="5.0.77"&gt;&lt;session id="Ulk3Fdrw"/&gt;&lt;style id="http://www.zotero.org/styles/chicago-author-date" locale="en-US" hasBibliography="1" bibliographyStyleHasBeenSet="1"/&gt;&lt;prefs&gt;&lt;pref name="fieldType" value="Field"/&gt;&lt;/prefs&gt;&lt;/</vt:lpwstr>
  </property>
  <property fmtid="{D5CDD505-2E9C-101B-9397-08002B2CF9AE}" pid="9" name="ZOTERO_PREF_2">
    <vt:lpwstr>data&gt;</vt:lpwstr>
  </property>
</Properties>
</file>