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3"/>
        </w:numPr>
        <w:spacing w:lineRule="auto" w:line="360" w:before="240" w:after="120"/>
        <w:rPr>
          <w:rFonts w:ascii="Calibri" w:hAnsi="Calibri" w:cs="Calibri" w:asciiTheme="minorHAnsi" w:cstheme="minorHAnsi" w:hAnsiTheme="minorHAnsi"/>
        </w:rPr>
      </w:pPr>
      <w:r>
        <w:rPr>
          <w:rFonts w:cs="Calibri" w:ascii="Calibri" w:hAnsi="Calibri" w:asciiTheme="minorHAnsi" w:cstheme="minorHAnsi" w:hAnsiTheme="minorHAnsi"/>
        </w:rPr>
        <w:t>Zmeny platových podmienok sestier</w:t>
      </w:r>
    </w:p>
    <w:p>
      <w:pPr>
        <w:pStyle w:val="TextBody"/>
        <w:rPr/>
      </w:pPr>
      <w:r>
        <w:rPr/>
      </w:r>
    </w:p>
    <w:p>
      <w:pPr>
        <w:pStyle w:val="Heading3"/>
        <w:numPr>
          <w:ilvl w:val="2"/>
          <w:numId w:val="2"/>
        </w:numPr>
        <w:rPr>
          <w:rFonts w:ascii="Calibri" w:hAnsi="Calibri" w:cs="Calibri" w:asciiTheme="minorHAnsi" w:cstheme="minorHAnsi" w:hAnsiTheme="minorHAnsi"/>
        </w:rPr>
      </w:pPr>
      <w:r>
        <w:rPr>
          <w:rFonts w:cs="Calibri" w:ascii="Calibri" w:hAnsi="Calibri" w:asciiTheme="minorHAnsi" w:cstheme="minorHAnsi" w:hAnsiTheme="minorHAnsi"/>
        </w:rPr>
        <w:t>Úvod</w:t>
      </w:r>
    </w:p>
    <w:p>
      <w:pPr>
        <w:pStyle w:val="Normal"/>
        <w:shd w:val="clear" w:color="auto" w:fill="FFFFFF"/>
        <w:spacing w:lineRule="auto" w:line="240" w:before="0" w:after="0"/>
        <w:jc w:val="both"/>
        <w:rPr/>
      </w:pPr>
      <w:r>
        <w:rPr>
          <w:rFonts w:eastAsia="Times New Roman" w:cs="Calibri" w:cstheme="minorHAnsi"/>
          <w:sz w:val="24"/>
          <w:szCs w:val="24"/>
          <w:shd w:fill="FFFFFF" w:val="clear"/>
          <w:lang w:eastAsia="cs-CZ"/>
        </w:rPr>
        <w:t xml:space="preserve">V koncepčnom materiáli </w:t>
      </w:r>
      <w:r>
        <w:rPr>
          <w:rFonts w:eastAsia="Times New Roman" w:cs="Calibri" w:cstheme="minorHAnsi"/>
          <w:b/>
          <w:i/>
          <w:sz w:val="24"/>
          <w:szCs w:val="24"/>
          <w:shd w:fill="FFFFFF" w:val="clear"/>
          <w:lang w:eastAsia="cs-CZ"/>
        </w:rPr>
        <w:t xml:space="preserve">Stav ošetrovateľstva na Slovensku – kategórie, vekové zloženie, perspektívy, názory a potrebné koncepčné riešenia </w:t>
      </w:r>
      <w:r>
        <w:rPr>
          <w:rFonts w:eastAsia="Times New Roman" w:cs="Calibri" w:cstheme="minorHAnsi"/>
          <w:sz w:val="24"/>
          <w:szCs w:val="24"/>
          <w:shd w:fill="FFFFFF" w:val="clear"/>
          <w:lang w:eastAsia="cs-CZ"/>
        </w:rPr>
        <w:t>sme dospeli k záveru, že bez zmeny vo finančnom ohodnotení sestier nebude možné udržať systém zdravotníctva v takom rozsahu, ako je dnes. Na základe dlhodobej komunikácie so sestrami v rámci Slovenskej komory sestier a pôrodných asistentiek sme navrhli nasledovné zmeny v platových podmienkach.</w:t>
      </w:r>
    </w:p>
    <w:p>
      <w:pPr>
        <w:pStyle w:val="Normal"/>
        <w:shd w:val="clear" w:color="auto" w:fill="FFFFFF"/>
        <w:spacing w:lineRule="auto" w:line="240" w:before="0" w:after="0"/>
        <w:jc w:val="both"/>
        <w:rPr/>
      </w:pPr>
      <w:r>
        <w:rPr>
          <w:rFonts w:eastAsia="Times New Roman" w:cs="Calibri" w:cstheme="minorHAnsi"/>
          <w:sz w:val="24"/>
          <w:szCs w:val="24"/>
          <w:shd w:fill="FFFFFF" w:val="clear"/>
          <w:lang w:eastAsia="cs-CZ"/>
        </w:rPr>
        <w:t>Tento materiál je dôležitý pre tvorbu modelu výdavkov, ktoré bude potrebné vynaložiť v dôsledku starnutia populácie. Bez určenia výšky výdavkov, ktoré bude nevyhnutné vymedziť na platy sestier, nie je možné stanoviť udržateľnosť zdravotníckeho systému.</w:t>
      </w:r>
    </w:p>
    <w:p>
      <w:pPr>
        <w:pStyle w:val="Normal"/>
        <w:shd w:val="clear" w:color="auto" w:fill="FFFFFF"/>
        <w:spacing w:lineRule="auto" w:line="240" w:before="0" w:after="0"/>
        <w:jc w:val="both"/>
        <w:rPr>
          <w:rFonts w:eastAsia="Times New Roman" w:cs="Calibri" w:cstheme="minorHAnsi"/>
          <w:sz w:val="24"/>
          <w:szCs w:val="24"/>
          <w:highlight w:val="white"/>
          <w:lang w:eastAsia="cs-CZ"/>
        </w:rPr>
      </w:pPr>
      <w:r>
        <w:rPr>
          <w:rFonts w:eastAsia="Times New Roman" w:cs="Calibri" w:cstheme="minorHAnsi"/>
          <w:sz w:val="24"/>
          <w:szCs w:val="24"/>
          <w:highlight w:val="white"/>
          <w:lang w:eastAsia="cs-CZ"/>
        </w:rPr>
      </w:r>
    </w:p>
    <w:p>
      <w:pPr>
        <w:pStyle w:val="Heading3"/>
        <w:numPr>
          <w:ilvl w:val="2"/>
          <w:numId w:val="2"/>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rPr>
        <w:t>Genéza vývoja situácie</w:t>
      </w:r>
    </w:p>
    <w:p>
      <w:pPr>
        <w:pStyle w:val="Normal"/>
        <w:shd w:val="clear" w:color="auto" w:fill="FFFFFF"/>
        <w:spacing w:lineRule="auto" w:line="240"/>
        <w:jc w:val="both"/>
        <w:rPr/>
      </w:pPr>
      <w:r>
        <w:rPr>
          <w:rFonts w:eastAsia="Times New Roman" w:cs="Calibri" w:cstheme="minorHAnsi"/>
          <w:sz w:val="24"/>
          <w:szCs w:val="24"/>
          <w:highlight w:val="white"/>
          <w:lang w:eastAsia="cs-CZ"/>
        </w:rPr>
        <w:t xml:space="preserve">Platová situácia pracovníkov v zdravotníctve začala byť zásadnou témou </w:t>
      </w:r>
      <w:r>
        <w:rPr>
          <w:rFonts w:eastAsia="Times New Roman" w:cs="Calibri" w:cstheme="minorHAnsi"/>
          <w:sz w:val="24"/>
          <w:szCs w:val="24"/>
          <w:lang w:eastAsia="cs-CZ"/>
        </w:rPr>
        <w:t>v druhej polovici roku 2011. V danom období lekári postupne zvyšovali tlak na vládu SR v otázke stanovenia mzdy lekárov ako násobku</w:t>
      </w:r>
      <w:r>
        <w:rPr>
          <w:rFonts w:cs="Calibri" w:cstheme="minorHAnsi"/>
          <w:lang w:eastAsia="cs-CZ"/>
        </w:rPr>
        <w:t xml:space="preserve"> </w:t>
      </w:r>
      <w:r>
        <w:rPr>
          <w:rFonts w:eastAsia="Times New Roman" w:cs="Calibri" w:cstheme="minorHAnsi"/>
          <w:sz w:val="24"/>
          <w:szCs w:val="24"/>
          <w:lang w:eastAsia="cs-CZ"/>
        </w:rPr>
        <w:t>priemernej mzdy v národnom hospodárstve. Súčasťou nátlaku boli aj výpovede viac ako 2 000 lekárov. Za daných okolností nebola vláda schopná na konci funkčného obdobia odolávať vzniknutému náporu</w:t>
      </w:r>
      <w:r>
        <w:rPr>
          <w:rStyle w:val="FootnoteAnchor"/>
          <w:rFonts w:eastAsia="Times New Roman" w:cs="Calibri" w:cstheme="minorHAnsi"/>
          <w:sz w:val="24"/>
          <w:szCs w:val="24"/>
          <w:lang w:eastAsia="cs-CZ"/>
        </w:rPr>
        <w:footnoteReference w:id="2"/>
      </w:r>
      <w:r>
        <w:rPr>
          <w:rFonts w:eastAsia="Times New Roman" w:cs="Calibri" w:cstheme="minorHAnsi"/>
          <w:sz w:val="24"/>
          <w:szCs w:val="24"/>
          <w:lang w:eastAsia="cs-CZ"/>
        </w:rPr>
        <w:t xml:space="preserve"> a pristúpila na podmienky lekárskeho odborového združenia v rámci Memoranda o úprave pomerov v zdravotníctve, prijatého dňa 3. 12. 2011. Konečná dohoda bola stanovená:</w:t>
      </w:r>
    </w:p>
    <w:p>
      <w:pPr>
        <w:pStyle w:val="Normal"/>
        <w:shd w:val="clear" w:color="auto" w:fill="FFFFFF"/>
        <w:spacing w:lineRule="auto" w:line="240" w:before="0" w:after="0"/>
        <w:jc w:val="both"/>
        <w:rPr>
          <w:color w:val="000000"/>
        </w:rPr>
      </w:pPr>
      <w:r>
        <w:rPr>
          <w:rFonts w:cs="Calibri" w:cstheme="minorHAnsi"/>
          <w:color w:val="000000"/>
          <w:sz w:val="24"/>
          <w:szCs w:val="24"/>
        </w:rPr>
        <w:t>(i) k 1. 1. 2012 na úroveň minimálne 1,05 – 1,6-násobku priemernej mzdy v národnom hospodárstve podľa dosiahnutého vzdelania,</w:t>
      </w:r>
    </w:p>
    <w:p>
      <w:pPr>
        <w:pStyle w:val="NormalWeb"/>
        <w:shd w:val="clear" w:color="auto" w:fill="FFFFFF"/>
        <w:spacing w:beforeAutospacing="0" w:before="280" w:afterAutospacing="0" w:after="240"/>
        <w:jc w:val="both"/>
        <w:textAlignment w:val="baseline"/>
        <w:rPr/>
      </w:pPr>
      <w:r>
        <w:rPr>
          <w:rFonts w:cs="Calibri" w:ascii="Calibri" w:hAnsi="Calibri" w:asciiTheme="minorHAnsi" w:cstheme="minorHAnsi" w:hAnsiTheme="minorHAnsi"/>
          <w:color w:val="000000"/>
        </w:rPr>
        <w:t xml:space="preserve">(ii) k 1. 7. 2012 na úroveň minimálne 1,2 </w:t>
      </w:r>
      <w:r>
        <w:rPr>
          <w:rFonts w:cs="Calibri" w:ascii="Calibri" w:hAnsi="Calibri" w:cstheme="minorHAnsi"/>
          <w:color w:val="000000"/>
        </w:rPr>
        <w:t>–</w:t>
      </w:r>
      <w:r>
        <w:rPr>
          <w:rFonts w:cs="Calibri" w:ascii="Calibri" w:hAnsi="Calibri" w:asciiTheme="minorHAnsi" w:cstheme="minorHAnsi" w:hAnsiTheme="minorHAnsi"/>
          <w:color w:val="000000"/>
        </w:rPr>
        <w:t xml:space="preserve"> 1,9-násobku priemernej mzdy v národnom hospodárstve podľa dosiahnutého vzdelania,</w:t>
      </w:r>
    </w:p>
    <w:p>
      <w:pPr>
        <w:pStyle w:val="NormalWeb"/>
        <w:shd w:val="clear" w:color="auto" w:fill="FFFFFF"/>
        <w:spacing w:beforeAutospacing="0" w:before="280" w:afterAutospacing="0" w:after="240"/>
        <w:jc w:val="both"/>
        <w:textAlignment w:val="baseline"/>
        <w:rPr>
          <w:color w:val="000000"/>
        </w:rPr>
      </w:pPr>
      <w:r>
        <w:rPr>
          <w:rFonts w:cs="Calibri" w:ascii="Calibri" w:hAnsi="Calibri" w:asciiTheme="minorHAnsi" w:cstheme="minorHAnsi" w:hAnsiTheme="minorHAnsi"/>
          <w:color w:val="000000"/>
        </w:rPr>
        <w:t xml:space="preserve">(iii) k 1. 1. 2013 na úroveň minimálne 1,25 </w:t>
      </w:r>
      <w:r>
        <w:rPr>
          <w:rFonts w:cs="Calibri" w:ascii="Calibri" w:hAnsi="Calibri" w:cstheme="minorHAnsi"/>
          <w:color w:val="000000"/>
        </w:rPr>
        <w:t>–</w:t>
      </w:r>
      <w:r>
        <w:rPr>
          <w:rFonts w:cs="Calibri" w:ascii="Calibri" w:hAnsi="Calibri" w:asciiTheme="minorHAnsi" w:cstheme="minorHAnsi" w:hAnsiTheme="minorHAnsi"/>
          <w:color w:val="000000"/>
        </w:rPr>
        <w:t xml:space="preserve"> 2,3-násobku priemernej mzdy v národnom hospodárstve podľa dosiahnutého vzdelania</w:t>
      </w:r>
      <w:r>
        <w:rPr>
          <w:rStyle w:val="FootnoteAnchor"/>
          <w:rFonts w:cs="Calibri" w:ascii="Calibri" w:hAnsi="Calibri" w:asciiTheme="minorHAnsi" w:cstheme="minorHAnsi" w:hAnsiTheme="minorHAnsi"/>
          <w:color w:val="000000"/>
        </w:rPr>
        <w:footnoteReference w:id="3"/>
      </w:r>
      <w:r>
        <w:rPr>
          <w:rFonts w:cs="Calibri" w:ascii="Calibri" w:hAnsi="Calibri" w:asciiTheme="minorHAnsi" w:cstheme="minorHAnsi" w:hAnsiTheme="minorHAnsi"/>
          <w:color w:val="000000"/>
        </w:rPr>
        <w:t>.</w:t>
      </w:r>
    </w:p>
    <w:p>
      <w:pPr>
        <w:pStyle w:val="NormalWeb"/>
        <w:shd w:val="clear" w:color="auto" w:fill="FFFFFF"/>
        <w:spacing w:beforeAutospacing="0" w:before="280" w:afterAutospacing="0" w:after="240"/>
        <w:jc w:val="both"/>
        <w:textAlignment w:val="baseline"/>
        <w:rPr/>
      </w:pPr>
      <w:r>
        <w:rPr>
          <w:rFonts w:cs="Calibri" w:ascii="Calibri" w:hAnsi="Calibri" w:asciiTheme="minorHAnsi" w:cstheme="minorHAnsi" w:hAnsiTheme="minorHAnsi"/>
          <w:color w:val="000000"/>
        </w:rPr>
        <w:t>Výpovede lekárov a prakticky ochromenie zdravotníctva malo silný mediálny dosah, kedy sa platové ohodnotenia lekárov, sestier a iných zdravotníckych pracovníkov stalo verejnou témou číslo jeden. Sestry nezvolili nátlakovú akciu a dlhodobo vyjednávali s Ministerstvom zdravotníctva SR podobnú zákonnú úpravu tak, aby ich platy odrážali násobok priemernej mzdy v národnom hospodárstve. Národná rada Slovenskej republiky schválila vo februári 2012 zákon č. 62/2012</w:t>
      </w:r>
      <w:r>
        <w:rPr>
          <w:rStyle w:val="FootnoteAnchor"/>
          <w:rFonts w:cs="Calibri" w:ascii="Calibri" w:hAnsi="Calibri" w:asciiTheme="minorHAnsi" w:cstheme="minorHAnsi" w:hAnsiTheme="minorHAnsi"/>
          <w:color w:val="000000"/>
        </w:rPr>
        <w:footnoteReference w:id="4"/>
      </w:r>
      <w:r>
        <w:rPr>
          <w:rFonts w:cs="Calibri" w:ascii="Calibri" w:hAnsi="Calibri" w:asciiTheme="minorHAnsi" w:cstheme="minorHAnsi" w:hAnsiTheme="minorHAnsi"/>
          <w:color w:val="000000"/>
        </w:rPr>
        <w:t>, ktorý upravoval minimálne mzdové nároky sestier a pôrodných asistentiek nasledovne</w:t>
      </w:r>
      <w:r>
        <w:rPr>
          <w:rStyle w:val="FootnoteAnchor"/>
          <w:rFonts w:cs="Calibri" w:ascii="Calibri" w:hAnsi="Calibri" w:asciiTheme="minorHAnsi" w:cstheme="minorHAnsi" w:hAnsiTheme="minorHAnsi"/>
          <w:color w:val="000000"/>
        </w:rPr>
        <w:footnoteReference w:id="5"/>
      </w:r>
      <w:r>
        <w:rPr>
          <w:rFonts w:cs="Calibri" w:ascii="Calibri" w:hAnsi="Calibri" w:asciiTheme="minorHAnsi" w:cstheme="minorHAnsi" w:hAnsiTheme="minorHAnsi"/>
          <w:color w:val="000000"/>
        </w:rPr>
        <w:t>. Podľa uvedeného zákona mali byť minimálne mzdové nároky na úrovni 640 eur a najvyššie nároky na úrovni 928 eur. Sadzby minimálnych mzdových nárokov  sestier a pôrodných asistentiek sú odvodené podľa počtu rokov praxe. Dané minimálne platové podmienky mali byť každoročne valorizované podľa rastu minimálnej mzdy.</w:t>
      </w:r>
    </w:p>
    <w:p>
      <w:pPr>
        <w:pStyle w:val="NormalWeb"/>
        <w:shd w:val="clear" w:color="auto" w:fill="FFFFFF"/>
        <w:spacing w:beforeAutospacing="0" w:before="280" w:afterAutospacing="0" w:after="240"/>
        <w:jc w:val="both"/>
        <w:textAlignment w:val="baseline"/>
        <w:rPr>
          <w:rFonts w:ascii="Calibri" w:hAnsi="Calibri" w:cs="Calibri" w:asciiTheme="minorHAnsi" w:cstheme="minorHAnsi" w:hAnsiTheme="minorHAnsi"/>
          <w:color w:val="000000"/>
        </w:rPr>
      </w:pPr>
      <w:r>
        <w:rPr>
          <w:rFonts w:cs="Calibri" w:ascii="Calibri" w:hAnsi="Calibri" w:asciiTheme="minorHAnsi" w:cstheme="minorHAnsi" w:hAnsiTheme="minorHAnsi"/>
          <w:color w:val="000000"/>
        </w:rPr>
        <w:t>Predmetný zákon bol napadnutý na Ústavnom súde na návrh Slovenskej lekárskej komory,</w:t>
      </w:r>
      <w:r>
        <w:rPr>
          <w:rStyle w:val="FootnoteAnchor"/>
          <w:rFonts w:cs="Calibri" w:ascii="Calibri" w:hAnsi="Calibri" w:asciiTheme="minorHAnsi" w:cstheme="minorHAnsi" w:hAnsiTheme="minorHAnsi"/>
          <w:color w:val="000000"/>
        </w:rPr>
        <w:footnoteReference w:id="6"/>
      </w:r>
      <w:r>
        <w:rPr>
          <w:rFonts w:cs="Calibri" w:ascii="Calibri" w:hAnsi="Calibri" w:asciiTheme="minorHAnsi" w:cstheme="minorHAnsi" w:hAnsiTheme="minorHAnsi"/>
          <w:color w:val="000000"/>
        </w:rPr>
        <w:t xml:space="preserve"> nakoľko prikazoval ostatným subjektom, ako majú nakladať so svojím majetkom bez toho, aby verejná správa zagarantovala nárast platov sestier z verejných zdrojov.</w:t>
      </w:r>
    </w:p>
    <w:p>
      <w:pPr>
        <w:pStyle w:val="NormalWeb"/>
        <w:shd w:val="clear" w:color="auto" w:fill="FFFFFF"/>
        <w:spacing w:beforeAutospacing="0" w:before="280" w:afterAutospacing="0" w:after="240"/>
        <w:jc w:val="both"/>
        <w:textAlignment w:val="baseline"/>
        <w:rPr>
          <w:color w:val="000000"/>
        </w:rPr>
      </w:pPr>
      <w:r>
        <w:rPr>
          <w:color w:val="000000"/>
        </w:rPr>
      </w:r>
    </w:p>
    <w:p>
      <w:pPr>
        <w:pStyle w:val="Heading3"/>
        <w:numPr>
          <w:ilvl w:val="2"/>
          <w:numId w:val="2"/>
        </w:numPr>
        <w:spacing w:lineRule="auto" w:line="240"/>
        <w:rPr>
          <w:rFonts w:ascii="Calibri" w:hAnsi="Calibri" w:cs="Calibri" w:asciiTheme="minorHAnsi" w:cstheme="minorHAnsi" w:hAnsiTheme="minorHAnsi"/>
        </w:rPr>
      </w:pPr>
      <w:r>
        <w:rPr>
          <w:rFonts w:cs="Calibri" w:ascii="Calibri" w:hAnsi="Calibri" w:asciiTheme="minorHAnsi" w:cstheme="minorHAnsi" w:hAnsiTheme="minorHAnsi"/>
        </w:rPr>
        <w:t>Porovnanie súčasnej situácie s našou víziou</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Mzda sestry so spôsobilosťou na výkon odborných pracovných činností by sa z 0,89-násobku priemernej mesačnej mzdy zvýšila na 1,00-násobok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Sestre s odbornou spôsobilosťou na výkon certifikovaných pracovných činností by sa 0,94-násobok mzdy zvýšil na 1,05-násobok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Sestra, ktorá získala odbornú spôsobilosť na výkon špecializovaných pracovných činností v špecializačnom odbore a vykonáva špecializované pracovné činnosti, by si prilepšila z 1,06-násobku na 1,15-násobok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Pri sestre s vysokoškolským vzdelaním so špecializáciou a certifikátom a 5-ročnou praxou by sa 1,10-násobok zvýšil na 1,20-násobok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Pôrodná asistentka so spôsobilosťou na výkon odborných pracovných činností by sa z 0,89-násobku priemernej mesačnej mzdy zvýšila na 1,00-násobok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Ak by mala pôrodná asistentka aj odbornú spôsobilosť na výkon certifikovaných pracovných činností, zvýšili by si plat z 0,94-násobku na 1,05-násobok priemernej mesačnej mzdy v národnom hospodárstve za predchádzajúci rok.</w:t>
      </w:r>
    </w:p>
    <w:p>
      <w:pPr>
        <w:pStyle w:val="M5177307901923107357msolistparagraph"/>
        <w:shd w:val="clear" w:color="auto" w:fill="FFFFFF"/>
        <w:spacing w:before="280" w:after="280"/>
        <w:jc w:val="both"/>
        <w:rPr>
          <w:rFonts w:ascii="Calibri" w:hAnsi="Calibri" w:cs="Calibri" w:asciiTheme="minorHAnsi" w:cstheme="minorHAnsi" w:hAnsiTheme="minorHAnsi"/>
          <w:lang w:val="sk-SK"/>
        </w:rPr>
      </w:pPr>
      <w:r>
        <w:rPr>
          <w:rFonts w:cs="Calibri" w:ascii="Calibri" w:hAnsi="Calibri" w:asciiTheme="minorHAnsi" w:cstheme="minorHAnsi" w:hAnsiTheme="minorHAnsi"/>
          <w:lang w:val="sk-SK"/>
        </w:rPr>
        <w:t>Priemerná mesačná mzda pôrodnej asistentky s odbornou spôsobilosťou na výkon špecializovaných pracovných činností by sa zvýšila z 1,06-násobku na 1,15-násobok priemernej mesačnej mzdy v národnom hospodárstve za predchádzajúci rok.</w:t>
      </w:r>
    </w:p>
    <w:p>
      <w:pPr>
        <w:pStyle w:val="M5177307901923107357msolistparagraph"/>
        <w:shd w:val="clear" w:color="auto" w:fill="FFFFFF"/>
        <w:spacing w:before="280" w:after="280"/>
        <w:jc w:val="both"/>
        <w:rPr/>
      </w:pPr>
      <w:r>
        <w:rPr>
          <w:rFonts w:cs="Calibri" w:ascii="Calibri" w:hAnsi="Calibri" w:asciiTheme="minorHAnsi" w:cstheme="minorHAnsi" w:hAnsiTheme="minorHAnsi"/>
          <w:lang w:val="sk-SK"/>
        </w:rPr>
        <w:t xml:space="preserve">Pri pôrodnej asistentke s vysokoškolským vzdelaním druhého stupňa </w:t>
      </w:r>
      <w:r>
        <w:rPr>
          <w:rFonts w:cs="Calibri" w:ascii="Calibri" w:hAnsi="Calibri" w:asciiTheme="minorHAnsi" w:cstheme="minorHAnsi" w:hAnsiTheme="minorHAnsi"/>
        </w:rPr>
        <w:t>so špecializáciou a certifikátom a 5-ročnou praxou</w:t>
      </w:r>
      <w:r>
        <w:rPr>
          <w:rFonts w:cs="Calibri" w:ascii="Calibri" w:hAnsi="Calibri" w:asciiTheme="minorHAnsi" w:cstheme="minorHAnsi" w:hAnsiTheme="minorHAnsi"/>
          <w:lang w:val="sk-SK"/>
        </w:rPr>
        <w:t xml:space="preserve"> by sa 1,10-násobok zvýšil na 1,20-násobok priemernej mesačnej mzdy v národnom hospodárstve za predchádzajúci rok.</w:t>
      </w:r>
    </w:p>
    <w:tbl>
      <w:tblPr>
        <w:tblStyle w:val="Mriekatabuky"/>
        <w:tblW w:w="9351" w:type="dxa"/>
        <w:jc w:val="left"/>
        <w:tblInd w:w="0" w:type="dxa"/>
        <w:tblCellMar>
          <w:top w:w="0" w:type="dxa"/>
          <w:left w:w="108" w:type="dxa"/>
          <w:bottom w:w="0" w:type="dxa"/>
          <w:right w:w="108" w:type="dxa"/>
        </w:tblCellMar>
        <w:tblLook w:val="04a0" w:noVBand="1" w:noHBand="0" w:lastColumn="0" w:firstColumn="1" w:lastRow="0" w:firstRow="1"/>
      </w:tblPr>
      <w:tblGrid>
        <w:gridCol w:w="5030"/>
        <w:gridCol w:w="1158"/>
        <w:gridCol w:w="743"/>
        <w:gridCol w:w="1100"/>
        <w:gridCol w:w="1320"/>
      </w:tblGrid>
      <w:tr>
        <w:trPr>
          <w:tblHeader w:val="true"/>
          <w:trHeight w:val="300" w:hRule="atLeast"/>
        </w:trPr>
        <w:tc>
          <w:tcPr>
            <w:tcW w:w="5030" w:type="dxa"/>
            <w:tcBorders/>
            <w:shd w:fill="auto" w:val="clear"/>
          </w:tcPr>
          <w:p>
            <w:pPr>
              <w:pStyle w:val="Normal"/>
              <w:shd w:val="clear" w:color="auto" w:fill="FFFFFF"/>
              <w:spacing w:lineRule="auto" w:line="240" w:before="0" w:after="0"/>
              <w:jc w:val="center"/>
              <w:rPr>
                <w:rFonts w:cs="Calibri" w:cstheme="minorHAnsi"/>
                <w:b/>
                <w:b/>
                <w:bCs/>
                <w:highlight w:val="white"/>
              </w:rPr>
            </w:pPr>
            <w:bookmarkStart w:id="0" w:name="_1fob9te"/>
            <w:bookmarkEnd w:id="0"/>
            <w:r>
              <w:rPr>
                <w:rFonts w:cs="Calibri" w:cstheme="minorHAnsi"/>
                <w:b/>
                <w:bCs/>
                <w:highlight w:val="white"/>
              </w:rPr>
              <w:t>Zdravotnícke povolanie</w:t>
            </w:r>
          </w:p>
        </w:tc>
        <w:tc>
          <w:tcPr>
            <w:tcW w:w="1158" w:type="dxa"/>
            <w:tcBorders/>
            <w:shd w:fill="auto" w:val="clear"/>
          </w:tcPr>
          <w:p>
            <w:pPr>
              <w:pStyle w:val="Normal"/>
              <w:shd w:val="clear" w:color="auto" w:fill="FFFFFF"/>
              <w:spacing w:lineRule="auto" w:line="240" w:before="0" w:after="0"/>
              <w:rPr>
                <w:rFonts w:cs="Calibri" w:cstheme="minorHAnsi"/>
                <w:b/>
                <w:b/>
                <w:bCs/>
              </w:rPr>
            </w:pPr>
            <w:r>
              <w:rPr>
                <w:rFonts w:cs="Calibri" w:cstheme="minorHAnsi"/>
                <w:b/>
                <w:bCs/>
                <w:highlight w:val="white"/>
              </w:rPr>
              <w:t>súčasnosť</w:t>
            </w:r>
          </w:p>
        </w:tc>
        <w:tc>
          <w:tcPr>
            <w:tcW w:w="743" w:type="dxa"/>
            <w:tcBorders/>
            <w:shd w:fill="auto" w:val="clear"/>
          </w:tcPr>
          <w:p>
            <w:pPr>
              <w:pStyle w:val="Normal"/>
              <w:shd w:val="clear" w:color="auto" w:fill="FFFFFF"/>
              <w:spacing w:lineRule="auto" w:line="240" w:before="0" w:after="0"/>
              <w:rPr>
                <w:rFonts w:cs="Calibri" w:cstheme="minorHAnsi"/>
                <w:b/>
                <w:b/>
                <w:bCs/>
              </w:rPr>
            </w:pPr>
            <w:r>
              <w:rPr>
                <w:rFonts w:cs="Calibri" w:cstheme="minorHAnsi"/>
                <w:b/>
                <w:bCs/>
                <w:highlight w:val="white"/>
              </w:rPr>
              <w:t>náš návrh</w:t>
            </w:r>
          </w:p>
        </w:tc>
        <w:tc>
          <w:tcPr>
            <w:tcW w:w="1100" w:type="dxa"/>
            <w:tcBorders/>
            <w:shd w:fill="auto" w:val="clear"/>
          </w:tcPr>
          <w:p>
            <w:pPr>
              <w:pStyle w:val="Normal"/>
              <w:shd w:val="clear" w:color="auto" w:fill="FFFFFF"/>
              <w:spacing w:lineRule="auto" w:line="240" w:before="0" w:after="0"/>
              <w:rPr>
                <w:rFonts w:cs="Calibri" w:cstheme="minorHAnsi"/>
                <w:b/>
                <w:b/>
                <w:bCs/>
              </w:rPr>
            </w:pPr>
            <w:r>
              <w:rPr>
                <w:rFonts w:cs="Calibri" w:cstheme="minorHAnsi"/>
                <w:b/>
                <w:bCs/>
                <w:highlight w:val="white"/>
              </w:rPr>
              <w:t>súčasná mzda</w:t>
            </w:r>
          </w:p>
          <w:p>
            <w:pPr>
              <w:pStyle w:val="Normal"/>
              <w:shd w:val="clear" w:color="auto" w:fill="FFFFFF"/>
              <w:spacing w:lineRule="auto" w:line="240" w:before="0" w:after="0"/>
              <w:rPr>
                <w:rFonts w:cs="Calibri" w:cstheme="minorHAnsi"/>
                <w:b/>
                <w:b/>
                <w:bCs/>
              </w:rPr>
            </w:pPr>
            <w:r>
              <w:rPr>
                <w:rFonts w:cs="Calibri" w:cstheme="minorHAnsi"/>
                <w:b/>
                <w:bCs/>
                <w:highlight w:val="white"/>
              </w:rPr>
              <w:t>v hrubom</w:t>
            </w:r>
          </w:p>
        </w:tc>
        <w:tc>
          <w:tcPr>
            <w:tcW w:w="1320" w:type="dxa"/>
            <w:tcBorders/>
            <w:shd w:fill="auto" w:val="clear"/>
          </w:tcPr>
          <w:p>
            <w:pPr>
              <w:pStyle w:val="Normal"/>
              <w:shd w:val="clear" w:color="auto" w:fill="FFFFFF"/>
              <w:spacing w:lineRule="auto" w:line="240" w:before="0" w:after="0"/>
              <w:rPr>
                <w:rFonts w:cs="Calibri" w:cstheme="minorHAnsi"/>
                <w:b/>
                <w:b/>
                <w:bCs/>
              </w:rPr>
            </w:pPr>
            <w:r>
              <w:rPr>
                <w:rFonts w:cs="Calibri" w:cstheme="minorHAnsi"/>
                <w:b/>
                <w:bCs/>
                <w:highlight w:val="white"/>
              </w:rPr>
              <w:t>naša navrhovaná mzda</w:t>
            </w:r>
          </w:p>
          <w:p>
            <w:pPr>
              <w:pStyle w:val="Normal"/>
              <w:shd w:val="clear" w:color="auto" w:fill="FFFFFF"/>
              <w:spacing w:lineRule="auto" w:line="240" w:before="0" w:after="0"/>
              <w:rPr>
                <w:rFonts w:cs="Calibri" w:cstheme="minorHAnsi"/>
                <w:b/>
                <w:b/>
                <w:bCs/>
              </w:rPr>
            </w:pPr>
            <w:r>
              <w:rPr>
                <w:rFonts w:cs="Calibri" w:cstheme="minorHAnsi"/>
                <w:b/>
                <w:bCs/>
                <w:highlight w:val="white"/>
              </w:rPr>
              <w:t>v hrubom</w:t>
            </w:r>
          </w:p>
        </w:tc>
      </w:tr>
      <w:tr>
        <w:trPr>
          <w:trHeight w:val="300" w:hRule="atLeast"/>
        </w:trPr>
        <w:tc>
          <w:tcPr>
            <w:tcW w:w="5030" w:type="dxa"/>
            <w:tcBorders/>
            <w:shd w:fill="auto" w:val="clear"/>
          </w:tcPr>
          <w:p>
            <w:pPr>
              <w:pStyle w:val="Normal"/>
              <w:shd w:val="clear" w:color="auto" w:fill="FFFFFF"/>
              <w:spacing w:lineRule="auto" w:line="240" w:before="0" w:after="0"/>
              <w:rPr>
                <w:rFonts w:cs="Calibri" w:cstheme="minorHAnsi"/>
              </w:rPr>
            </w:pPr>
            <w:r>
              <w:rPr>
                <w:rFonts w:cs="Calibri" w:cstheme="minorHAnsi"/>
                <w:highlight w:val="white"/>
              </w:rPr>
              <w:t>Sestra so spôsobilosťou na výkon odborných pracovných činností</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0,89</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1,00</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902</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1013</w:t>
            </w:r>
          </w:p>
        </w:tc>
      </w:tr>
      <w:tr>
        <w:trPr>
          <w:trHeight w:val="300" w:hRule="atLeast"/>
        </w:trPr>
        <w:tc>
          <w:tcPr>
            <w:tcW w:w="5030" w:type="dxa"/>
            <w:tcBorders/>
            <w:shd w:fill="auto" w:val="clear"/>
          </w:tcPr>
          <w:p>
            <w:pPr>
              <w:pStyle w:val="Normal"/>
              <w:shd w:val="clear" w:color="auto" w:fill="FFFFFF"/>
              <w:spacing w:lineRule="auto" w:line="240" w:before="0" w:after="0"/>
              <w:rPr>
                <w:rFonts w:cs="Calibri" w:cstheme="minorHAnsi"/>
              </w:rPr>
            </w:pPr>
            <w:r>
              <w:rPr>
                <w:rFonts w:cs="Calibri" w:cstheme="minorHAnsi"/>
                <w:highlight w:val="white"/>
              </w:rPr>
              <w:t>Sestra s odbornou spôsobilosťou na výkon certifikovaných pracovných činností</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0,94</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1,05</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952</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1064</w:t>
            </w:r>
          </w:p>
        </w:tc>
      </w:tr>
      <w:tr>
        <w:trPr>
          <w:trHeight w:val="300" w:hRule="atLeast"/>
        </w:trPr>
        <w:tc>
          <w:tcPr>
            <w:tcW w:w="5030" w:type="dxa"/>
            <w:tcBorders/>
            <w:shd w:fill="auto" w:val="clear"/>
          </w:tcPr>
          <w:p>
            <w:pPr>
              <w:pStyle w:val="Normal"/>
              <w:shd w:val="clear" w:color="auto" w:fill="FFFFFF"/>
              <w:spacing w:lineRule="auto" w:line="240" w:before="0" w:after="0"/>
              <w:rPr>
                <w:rFonts w:cs="Calibri" w:cstheme="minorHAnsi"/>
              </w:rPr>
            </w:pPr>
            <w:r>
              <w:rPr>
                <w:rFonts w:cs="Calibri" w:cstheme="minorHAnsi"/>
                <w:highlight w:val="white"/>
              </w:rPr>
              <w:t>Sestra, ktorá získala odbornú spôsobilosť na výkon špecializovaných pracovných činností v špecializačnom odbore a vykonáva špecializované pracovné činnosti</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1,06</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1,15</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1074</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1165</w:t>
            </w:r>
          </w:p>
        </w:tc>
      </w:tr>
      <w:tr>
        <w:trPr>
          <w:trHeight w:val="300" w:hRule="atLeast"/>
        </w:trPr>
        <w:tc>
          <w:tcPr>
            <w:tcW w:w="5030" w:type="dxa"/>
            <w:tcBorders/>
            <w:shd w:fill="auto" w:val="clear"/>
          </w:tcPr>
          <w:p>
            <w:pPr>
              <w:pStyle w:val="Normal"/>
              <w:shd w:val="clear" w:color="auto" w:fill="FFFFFF"/>
              <w:spacing w:lineRule="auto" w:line="240" w:before="0" w:after="0"/>
              <w:rPr/>
            </w:pPr>
            <w:r>
              <w:rPr>
                <w:rFonts w:cs="Calibri" w:cstheme="minorHAnsi"/>
                <w:highlight w:val="white"/>
              </w:rPr>
              <w:t>Sestra s vysokoškolským vzdelaním druhého stupňa</w:t>
            </w:r>
            <w:r>
              <w:rPr>
                <w:rFonts w:cs="Calibri" w:cstheme="minorHAnsi"/>
              </w:rPr>
              <w:t xml:space="preserve"> so špecializáciou a certifikátom a 5-ročnou praxou</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1,10</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1,20</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1114</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1216</w:t>
            </w:r>
          </w:p>
        </w:tc>
      </w:tr>
      <w:tr>
        <w:trPr>
          <w:trHeight w:val="300" w:hRule="atLeast"/>
        </w:trPr>
        <w:tc>
          <w:tcPr>
            <w:tcW w:w="5030" w:type="dxa"/>
            <w:tcBorders/>
            <w:shd w:fill="auto" w:val="clear"/>
          </w:tcPr>
          <w:p>
            <w:pPr>
              <w:pStyle w:val="Normal"/>
              <w:shd w:val="clear" w:color="auto" w:fill="FFFFFF"/>
              <w:spacing w:lineRule="auto" w:line="240" w:before="0" w:after="0"/>
              <w:rPr>
                <w:rFonts w:cs="Calibri" w:cstheme="minorHAnsi"/>
                <w:highlight w:val="white"/>
              </w:rPr>
            </w:pPr>
            <w:r>
              <w:rPr>
                <w:rFonts w:cs="Calibri" w:cstheme="minorHAnsi"/>
                <w:highlight w:val="white"/>
              </w:rPr>
              <w:t>Pôrodná asistentka so spôsobilosťou na výkon odborných pracovných činností</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0,89</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0,95</w:t>
            </w:r>
          </w:p>
        </w:tc>
        <w:tc>
          <w:tcPr>
            <w:tcW w:w="110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902</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1013</w:t>
            </w:r>
          </w:p>
        </w:tc>
      </w:tr>
      <w:tr>
        <w:trPr>
          <w:trHeight w:val="300" w:hRule="atLeast"/>
        </w:trPr>
        <w:tc>
          <w:tcPr>
            <w:tcW w:w="5030" w:type="dxa"/>
            <w:tcBorders/>
            <w:shd w:fill="auto" w:val="clear"/>
          </w:tcPr>
          <w:p>
            <w:pPr>
              <w:pStyle w:val="Normal"/>
              <w:shd w:val="clear" w:color="auto" w:fill="FFFFFF"/>
              <w:spacing w:lineRule="auto" w:line="240" w:before="0" w:after="0"/>
              <w:rPr/>
            </w:pPr>
            <w:r>
              <w:rPr>
                <w:rFonts w:cs="Calibri" w:cstheme="minorHAnsi"/>
                <w:highlight w:val="white"/>
              </w:rPr>
              <w:t>Pôrodná asistentka so spôsobilosťou na výkon certifikovaných pracovných činností</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0,94</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1,05</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952</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1064</w:t>
            </w:r>
          </w:p>
        </w:tc>
      </w:tr>
      <w:tr>
        <w:trPr>
          <w:trHeight w:val="300" w:hRule="atLeast"/>
        </w:trPr>
        <w:tc>
          <w:tcPr>
            <w:tcW w:w="5030" w:type="dxa"/>
            <w:tcBorders/>
            <w:shd w:fill="auto" w:val="clear"/>
          </w:tcPr>
          <w:p>
            <w:pPr>
              <w:pStyle w:val="Normal"/>
              <w:shd w:val="clear" w:color="auto" w:fill="FFFFFF"/>
              <w:spacing w:lineRule="auto" w:line="240" w:before="0" w:after="0"/>
              <w:rPr>
                <w:rFonts w:cs="Calibri" w:cstheme="minorHAnsi"/>
              </w:rPr>
            </w:pPr>
            <w:r>
              <w:rPr>
                <w:rFonts w:cs="Calibri" w:cstheme="minorHAnsi"/>
                <w:highlight w:val="white"/>
              </w:rPr>
              <w:t>Pôrodná asistentka s odbornou spôsobilosťou na výkon špecializovaných pracovných činností v špecializačnom odbore a vykonáva špecializované pracovné činnosti</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1,06</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1,15</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1074</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1165</w:t>
            </w:r>
          </w:p>
        </w:tc>
      </w:tr>
      <w:tr>
        <w:trPr>
          <w:trHeight w:val="300" w:hRule="atLeast"/>
        </w:trPr>
        <w:tc>
          <w:tcPr>
            <w:tcW w:w="5030" w:type="dxa"/>
            <w:tcBorders/>
            <w:shd w:fill="auto" w:val="clear"/>
          </w:tcPr>
          <w:p>
            <w:pPr>
              <w:pStyle w:val="Normal"/>
              <w:shd w:val="clear" w:color="auto" w:fill="FFFFFF"/>
              <w:spacing w:lineRule="auto" w:line="240" w:before="0" w:after="0"/>
              <w:rPr/>
            </w:pPr>
            <w:r>
              <w:rPr>
                <w:rFonts w:cs="Calibri" w:cstheme="minorHAnsi"/>
                <w:highlight w:val="white"/>
              </w:rPr>
              <w:t>Pôrodná asistentka s vysokoškolským vzdelaním druhého stupňa</w:t>
            </w:r>
            <w:r>
              <w:rPr>
                <w:rFonts w:cs="Calibri" w:cstheme="minorHAnsi"/>
              </w:rPr>
              <w:t xml:space="preserve"> so špecializáciou a certifikátom a 5-ročnou praxou</w:t>
            </w:r>
          </w:p>
        </w:tc>
        <w:tc>
          <w:tcPr>
            <w:tcW w:w="1158"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1,10</w:t>
            </w:r>
          </w:p>
        </w:tc>
        <w:tc>
          <w:tcPr>
            <w:tcW w:w="743"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highlight w:val="white"/>
              </w:rPr>
              <w:t>1,20</w:t>
            </w:r>
          </w:p>
        </w:tc>
        <w:tc>
          <w:tcPr>
            <w:tcW w:w="1100" w:type="dxa"/>
            <w:tcBorders/>
            <w:shd w:fill="auto" w:val="clear"/>
          </w:tcPr>
          <w:p>
            <w:pPr>
              <w:pStyle w:val="Normal"/>
              <w:shd w:val="clear" w:color="auto" w:fill="FFFFFF"/>
              <w:spacing w:lineRule="auto" w:line="240" w:before="0" w:after="0"/>
              <w:jc w:val="center"/>
              <w:rPr>
                <w:rFonts w:cs="Calibri" w:cstheme="minorHAnsi"/>
              </w:rPr>
            </w:pPr>
            <w:r>
              <w:rPr>
                <w:rFonts w:cs="Calibri" w:cstheme="minorHAnsi"/>
              </w:rPr>
              <w:t>1114</w:t>
            </w:r>
          </w:p>
        </w:tc>
        <w:tc>
          <w:tcPr>
            <w:tcW w:w="1320" w:type="dxa"/>
            <w:tcBorders/>
            <w:shd w:fill="auto" w:val="clear"/>
          </w:tcPr>
          <w:p>
            <w:pPr>
              <w:pStyle w:val="Normal"/>
              <w:shd w:val="clear" w:color="auto" w:fill="FFFFFF"/>
              <w:spacing w:lineRule="auto" w:line="240" w:before="0" w:after="0"/>
              <w:jc w:val="center"/>
              <w:rPr>
                <w:rFonts w:cs="Calibri" w:cstheme="minorHAnsi"/>
                <w:highlight w:val="white"/>
              </w:rPr>
            </w:pPr>
            <w:r>
              <w:rPr>
                <w:rFonts w:cs="Calibri" w:cstheme="minorHAnsi"/>
                <w:color w:val="000000"/>
              </w:rPr>
              <w:t>1216</w:t>
            </w:r>
            <w:bookmarkStart w:id="1" w:name="_Hlk30682918"/>
            <w:bookmarkEnd w:id="1"/>
          </w:p>
        </w:tc>
      </w:tr>
    </w:tbl>
    <w:p>
      <w:pPr>
        <w:pStyle w:val="Normal"/>
        <w:shd w:val="clear" w:color="auto" w:fill="FFFFFF"/>
        <w:spacing w:lineRule="auto" w:line="240" w:before="0" w:after="0"/>
        <w:jc w:val="both"/>
        <w:rPr>
          <w:rFonts w:eastAsia="Times New Roman" w:cs="Calibri" w:cstheme="minorHAnsi"/>
          <w:sz w:val="24"/>
          <w:szCs w:val="24"/>
          <w:highlight w:val="white"/>
          <w:lang w:eastAsia="cs-CZ"/>
        </w:rPr>
      </w:pPr>
      <w:r>
        <w:rPr>
          <w:rFonts w:eastAsia="Times New Roman" w:cs="Calibri" w:cstheme="minorHAnsi"/>
          <w:sz w:val="24"/>
          <w:szCs w:val="24"/>
          <w:highlight w:val="white"/>
          <w:lang w:eastAsia="cs-CZ"/>
        </w:rPr>
      </w:r>
    </w:p>
    <w:p>
      <w:pPr>
        <w:pStyle w:val="Normal"/>
        <w:shd w:val="clear" w:color="auto" w:fill="FFFFFF"/>
        <w:spacing w:lineRule="auto" w:line="240" w:before="0" w:after="0"/>
        <w:jc w:val="both"/>
        <w:rPr>
          <w:rFonts w:cs="Calibri" w:cstheme="minorHAnsi"/>
        </w:rPr>
      </w:pPr>
      <w:r>
        <w:rPr>
          <w:rFonts w:eastAsia="Times New Roman" w:cs="Calibri" w:cstheme="minorHAnsi"/>
          <w:sz w:val="24"/>
          <w:szCs w:val="24"/>
          <w:shd w:fill="FFFFFF" w:val="clear"/>
          <w:lang w:eastAsia="cs-CZ"/>
        </w:rPr>
        <w:t>Predmetné platové úpravy vnímame ako dostatočné na to, aby sa odchod sestier do zahraničia výrazne spomalil, i keď nie dostatočné na to, aby sa sestry začali zo zahraničia vracať. Zároveň dôvodom na uvedené zvýšenie mzdy, ktoré sa môže javiť ako razantné, je, aby bol vyslaný jasný signál, že o sestry je na Slovensku záujem a verejný sektor je pripravený do záchrany tohto povolania investovať maximum možného.</w:t>
      </w:r>
    </w:p>
    <w:p>
      <w:pPr>
        <w:pStyle w:val="Normal"/>
        <w:shd w:val="clear" w:color="auto" w:fill="FFFFFF"/>
        <w:spacing w:lineRule="auto" w:line="240" w:before="0" w:after="0"/>
        <w:jc w:val="both"/>
        <w:rPr>
          <w:rFonts w:cs="Calibri" w:cstheme="minorHAnsi"/>
        </w:rPr>
      </w:pPr>
      <w:r>
        <w:rPr>
          <w:rFonts w:cs="Calibri" w:cstheme="minorHAnsi"/>
        </w:rPr>
      </w:r>
    </w:p>
    <w:p>
      <w:pPr>
        <w:pStyle w:val="Heading3"/>
        <w:numPr>
          <w:ilvl w:val="2"/>
          <w:numId w:val="2"/>
        </w:numPr>
        <w:spacing w:lineRule="auto" w:line="240"/>
        <w:rPr>
          <w:rFonts w:ascii="Calibri" w:hAnsi="Calibri" w:cs="Calibri" w:asciiTheme="minorHAnsi" w:cstheme="minorHAnsi" w:hAnsiTheme="minorHAnsi"/>
        </w:rPr>
      </w:pPr>
      <w:r>
        <w:rPr/>
        <w:t>Dopad na verejné financie</w:t>
      </w:r>
    </w:p>
    <w:p>
      <w:pPr>
        <w:pStyle w:val="Normal"/>
        <w:shd w:val="clear" w:color="auto" w:fill="FFFFFF"/>
        <w:spacing w:lineRule="auto" w:line="240" w:before="0" w:after="0"/>
        <w:jc w:val="both"/>
        <w:rPr/>
      </w:pPr>
      <w:r>
        <w:rPr>
          <w:rFonts w:eastAsia="Times New Roman" w:cs="Calibri" w:cstheme="minorHAnsi"/>
          <w:sz w:val="24"/>
          <w:szCs w:val="24"/>
          <w:highlight w:val="white"/>
          <w:lang w:eastAsia="cs-CZ"/>
        </w:rPr>
        <w:t>V našom modeli rátame dopady na verejné financie, zapríčinené zvýšením platových podmienok sestier a pôrodných asistentiek. Pri tvorbe výpočtov sme brali do úvahy nasledovné:</w:t>
      </w:r>
    </w:p>
    <w:p>
      <w:pPr>
        <w:pStyle w:val="Normal"/>
        <w:shd w:val="clear" w:color="auto" w:fill="FFFFFF"/>
        <w:spacing w:lineRule="auto" w:line="240" w:before="0" w:after="0"/>
        <w:jc w:val="both"/>
        <w:rPr>
          <w:rFonts w:eastAsia="Times New Roman" w:cs="Calibri" w:cstheme="minorHAnsi"/>
          <w:sz w:val="24"/>
          <w:szCs w:val="24"/>
          <w:highlight w:val="white"/>
          <w:lang w:eastAsia="cs-CZ"/>
        </w:rPr>
      </w:pPr>
      <w:r>
        <w:rPr>
          <w:rFonts w:eastAsia="Times New Roman" w:cs="Calibri" w:cstheme="minorHAnsi"/>
          <w:sz w:val="24"/>
          <w:szCs w:val="24"/>
          <w:highlight w:val="white"/>
          <w:lang w:eastAsia="cs-CZ"/>
        </w:rPr>
      </w:r>
    </w:p>
    <w:p>
      <w:pPr>
        <w:pStyle w:val="ListParagraph"/>
        <w:numPr>
          <w:ilvl w:val="0"/>
          <w:numId w:val="4"/>
        </w:numPr>
        <w:shd w:val="clear" w:color="auto" w:fill="FFFFFF"/>
        <w:spacing w:lineRule="auto" w:line="240" w:before="0" w:after="0"/>
        <w:contextualSpacing/>
        <w:jc w:val="both"/>
        <w:rPr>
          <w:rFonts w:cs="Calibri" w:cstheme="minorHAnsi"/>
        </w:rPr>
      </w:pPr>
      <w:r>
        <w:rPr>
          <w:rFonts w:eastAsia="Times New Roman" w:cs="Calibri" w:cstheme="minorHAnsi"/>
          <w:sz w:val="24"/>
          <w:szCs w:val="24"/>
          <w:highlight w:val="white"/>
          <w:lang w:eastAsia="cs-CZ"/>
        </w:rPr>
        <w:t>Na základe komunikácií so Slovenskou komorou sestier a pôrodných asistentiek sme stanovili potrebné platové navýšenie pre sestry, ktoré by dostatočne zvýšilo záujem o prácu zdravotných sestier.</w:t>
      </w:r>
    </w:p>
    <w:p>
      <w:pPr>
        <w:pStyle w:val="ListParagraph"/>
        <w:numPr>
          <w:ilvl w:val="0"/>
          <w:numId w:val="4"/>
        </w:numPr>
        <w:shd w:val="clear" w:color="auto" w:fill="FFFFFF"/>
        <w:spacing w:lineRule="auto" w:line="240" w:before="0" w:after="0"/>
        <w:contextualSpacing/>
        <w:jc w:val="both"/>
        <w:rPr/>
      </w:pPr>
      <w:r>
        <w:rPr>
          <w:rFonts w:eastAsia="Times New Roman" w:cs="Calibri" w:cstheme="minorHAnsi"/>
          <w:sz w:val="24"/>
          <w:szCs w:val="24"/>
          <w:highlight w:val="white"/>
          <w:lang w:eastAsia="cs-CZ"/>
        </w:rPr>
        <w:t>Zároveň sme na základe informácií Národného centra zdravotníckych informácií</w:t>
      </w:r>
      <w:r>
        <w:rPr>
          <w:rStyle w:val="FootnoteAnchor"/>
          <w:rFonts w:eastAsia="Times New Roman" w:cs="Calibri" w:cstheme="minorHAnsi"/>
          <w:sz w:val="24"/>
          <w:szCs w:val="24"/>
          <w:highlight w:val="white"/>
          <w:lang w:eastAsia="cs-CZ"/>
        </w:rPr>
        <w:footnoteReference w:id="7"/>
      </w:r>
      <w:r>
        <w:rPr>
          <w:rFonts w:eastAsia="Times New Roman" w:cs="Calibri" w:cstheme="minorHAnsi"/>
          <w:sz w:val="24"/>
          <w:szCs w:val="24"/>
          <w:highlight w:val="white"/>
          <w:lang w:eastAsia="cs-CZ"/>
        </w:rPr>
        <w:t xml:space="preserve"> stanovili počet sestier, ktorých by sa zvýšenie týkalo.</w:t>
      </w:r>
    </w:p>
    <w:p>
      <w:pPr>
        <w:pStyle w:val="ListParagraph"/>
        <w:numPr>
          <w:ilvl w:val="0"/>
          <w:numId w:val="4"/>
        </w:numPr>
        <w:shd w:val="clear" w:color="auto" w:fill="FFFFFF"/>
        <w:spacing w:lineRule="auto" w:line="240" w:before="0" w:after="0"/>
        <w:contextualSpacing/>
        <w:jc w:val="both"/>
        <w:rPr>
          <w:rFonts w:eastAsia="Times New Roman" w:cs="Calibri" w:cstheme="minorHAnsi"/>
          <w:sz w:val="24"/>
          <w:szCs w:val="24"/>
          <w:highlight w:val="white"/>
          <w:lang w:eastAsia="cs-CZ"/>
        </w:rPr>
      </w:pPr>
      <w:r>
        <w:rPr>
          <w:rFonts w:eastAsia="Times New Roman" w:cs="Calibri" w:cstheme="minorHAnsi"/>
          <w:sz w:val="24"/>
          <w:szCs w:val="24"/>
          <w:highlight w:val="white"/>
          <w:lang w:eastAsia="cs-CZ"/>
        </w:rPr>
        <w:t>Vymodelovali sme finančnú potrebu na navýšenie výdavkov.</w:t>
      </w:r>
    </w:p>
    <w:p>
      <w:pPr>
        <w:pStyle w:val="ListParagraph"/>
        <w:numPr>
          <w:ilvl w:val="0"/>
          <w:numId w:val="4"/>
        </w:numPr>
        <w:shd w:val="clear" w:color="auto" w:fill="FFFFFF"/>
        <w:spacing w:lineRule="auto" w:line="240" w:before="0" w:after="0"/>
        <w:contextualSpacing/>
        <w:jc w:val="both"/>
        <w:rPr/>
      </w:pPr>
      <w:r>
        <w:rPr>
          <w:rFonts w:eastAsia="Times New Roman" w:cs="Calibri" w:cstheme="minorHAnsi"/>
          <w:sz w:val="24"/>
          <w:szCs w:val="24"/>
          <w:highlight w:val="white"/>
          <w:lang w:eastAsia="cs-CZ"/>
        </w:rPr>
        <w:t>Stanovili sme mieru sklonu k úsporám a znížili záťaž štátneho rozpočtu o vybratú DPH.</w:t>
      </w:r>
    </w:p>
    <w:p>
      <w:pPr>
        <w:pStyle w:val="ListParagraph"/>
        <w:numPr>
          <w:ilvl w:val="0"/>
          <w:numId w:val="4"/>
        </w:numPr>
        <w:shd w:val="clear" w:color="auto" w:fill="FFFFFF"/>
        <w:spacing w:lineRule="auto" w:line="240" w:before="0" w:after="0"/>
        <w:contextualSpacing/>
        <w:jc w:val="both"/>
        <w:rPr>
          <w:rFonts w:cs="Calibri" w:cstheme="minorHAnsi"/>
          <w:sz w:val="24"/>
          <w:szCs w:val="24"/>
        </w:rPr>
      </w:pPr>
      <w:r>
        <w:rPr>
          <w:rFonts w:eastAsia="Times New Roman" w:cs="Calibri" w:cstheme="minorHAnsi"/>
          <w:sz w:val="24"/>
          <w:szCs w:val="24"/>
          <w:highlight w:val="white"/>
          <w:lang w:eastAsia="cs-CZ"/>
        </w:rPr>
        <w:t xml:space="preserve">Na základe predmetnej analýzy sme dospeli k záveru, že navýšenie výdavkov predstavuje </w:t>
      </w:r>
      <w:r>
        <w:rPr>
          <w:rFonts w:eastAsia="Times New Roman" w:cs="Calibri" w:cstheme="minorHAnsi"/>
          <w:color w:val="000000"/>
          <w:sz w:val="24"/>
          <w:szCs w:val="24"/>
          <w:lang w:val="cs-CZ" w:eastAsia="cs-CZ"/>
        </w:rPr>
        <w:t>51 747 770 eur na rok 2020.</w:t>
      </w:r>
    </w:p>
    <w:p>
      <w:pPr>
        <w:pStyle w:val="Normal"/>
        <w:shd w:val="clear" w:color="auto" w:fill="FFFFFF"/>
        <w:spacing w:lineRule="auto" w:line="240" w:before="0" w:after="0"/>
        <w:jc w:val="both"/>
        <w:rPr>
          <w:rFonts w:eastAsia="Times New Roman" w:cs="Calibri" w:cstheme="minorHAnsi"/>
          <w:sz w:val="24"/>
          <w:szCs w:val="24"/>
          <w:highlight w:val="white"/>
          <w:lang w:val="cs-CZ" w:eastAsia="cs-CZ"/>
        </w:rPr>
      </w:pPr>
      <w:r>
        <w:rPr>
          <w:rFonts w:eastAsia="Times New Roman" w:cs="Calibri" w:cstheme="minorHAnsi"/>
          <w:sz w:val="24"/>
          <w:szCs w:val="24"/>
          <w:highlight w:val="white"/>
          <w:lang w:val="cs-CZ" w:eastAsia="cs-CZ"/>
        </w:rPr>
      </w:r>
    </w:p>
    <w:p>
      <w:pPr>
        <w:pStyle w:val="Heading3"/>
        <w:numPr>
          <w:ilvl w:val="2"/>
          <w:numId w:val="2"/>
        </w:numPr>
        <w:spacing w:lineRule="auto" w:line="240"/>
        <w:rPr>
          <w:rFonts w:ascii="Calibri" w:hAnsi="Calibri" w:cs="Calibri" w:asciiTheme="minorHAnsi" w:cstheme="minorHAnsi" w:hAnsiTheme="minorHAnsi"/>
        </w:rPr>
      </w:pPr>
      <w:r>
        <w:rPr/>
        <w:t>Záver</w:t>
      </w:r>
    </w:p>
    <w:p>
      <w:pPr>
        <w:pStyle w:val="Normal"/>
        <w:shd w:val="clear" w:color="auto" w:fill="FFFFFF"/>
        <w:spacing w:lineRule="auto" w:line="240" w:before="0" w:after="0"/>
        <w:jc w:val="both"/>
        <w:rPr/>
      </w:pPr>
      <w:r>
        <w:rPr>
          <w:rFonts w:eastAsia="Times New Roman" w:cs="Calibri" w:cstheme="minorHAnsi"/>
          <w:sz w:val="24"/>
          <w:szCs w:val="24"/>
          <w:highlight w:val="white"/>
          <w:lang w:eastAsia="cs-CZ"/>
        </w:rPr>
        <w:t xml:space="preserve">Náklady zvyšujúce sa o rast priemernej mzdy v hodnote </w:t>
      </w:r>
      <w:r>
        <w:rPr>
          <w:rFonts w:eastAsia="Times New Roman" w:cs="Calibri" w:cstheme="minorHAnsi"/>
          <w:sz w:val="24"/>
          <w:szCs w:val="24"/>
          <w:lang w:eastAsia="cs-CZ"/>
        </w:rPr>
        <w:t xml:space="preserve">51 747 tis. </w:t>
      </w:r>
      <w:r>
        <w:rPr>
          <w:rFonts w:eastAsia="Times New Roman" w:cs="Calibri" w:cstheme="minorHAnsi"/>
          <w:sz w:val="24"/>
          <w:szCs w:val="24"/>
          <w:highlight w:val="white"/>
          <w:lang w:eastAsia="cs-CZ"/>
        </w:rPr>
        <w:t>eur pokladáme za primeranú sumu vzhľadom na akútny nedostatok personálu v oblasti ošetrovateľstva.</w:t>
      </w:r>
    </w:p>
    <w:p>
      <w:pPr>
        <w:pStyle w:val="Normal"/>
        <w:shd w:val="clear" w:color="auto" w:fill="FFFFFF"/>
        <w:spacing w:lineRule="auto" w:line="240" w:before="0" w:after="0"/>
        <w:jc w:val="both"/>
        <w:rPr>
          <w:rFonts w:eastAsia="Times New Roman" w:cs="Calibri" w:cstheme="minorHAnsi"/>
          <w:sz w:val="24"/>
          <w:szCs w:val="24"/>
          <w:lang w:eastAsia="cs-CZ"/>
        </w:rPr>
      </w:pPr>
      <w:r>
        <w:rPr>
          <w:rFonts w:eastAsia="Times New Roman" w:cs="Calibri" w:cstheme="minorHAnsi"/>
          <w:sz w:val="24"/>
          <w:szCs w:val="24"/>
          <w:lang w:eastAsia="cs-CZ"/>
        </w:rPr>
      </w:r>
    </w:p>
    <w:p>
      <w:pPr>
        <w:pStyle w:val="Normal"/>
        <w:shd w:val="clear" w:color="auto" w:fill="FFFFFF"/>
        <w:spacing w:lineRule="auto" w:line="240" w:before="0" w:after="0"/>
        <w:jc w:val="both"/>
        <w:rPr/>
      </w:pPr>
      <w:r>
        <w:rPr/>
      </w:r>
    </w:p>
    <w:p>
      <w:pPr>
        <w:pStyle w:val="Normal"/>
        <w:spacing w:lineRule="auto" w:line="240"/>
        <w:jc w:val="both"/>
        <w:rPr/>
      </w:pPr>
      <w:r>
        <w:rPr/>
      </w:r>
    </w:p>
    <w:p>
      <w:pPr>
        <w:pStyle w:val="TextBody"/>
        <w:spacing w:lineRule="auto" w:line="240"/>
        <w:jc w:val="both"/>
        <w:rPr/>
      </w:pPr>
      <w:r>
        <w:drawing>
          <wp:anchor behindDoc="0" distT="0" distB="0" distL="0" distR="47625" simplePos="0" locked="0" layoutInCell="1"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214245" cy="788670"/>
                    </a:xfrm>
                    <a:prstGeom prst="rect">
                      <a:avLst/>
                    </a:prstGeom>
                  </pic:spPr>
                </pic:pic>
              </a:graphicData>
            </a:graphic>
          </wp:anchor>
        </w:drawing>
      </w:r>
      <w:r>
        <w:rPr>
          <w:color w:val="000000"/>
          <w:sz w:val="20"/>
          <w:szCs w:val="20"/>
        </w:rPr>
        <w:t>T</w:t>
      </w:r>
      <w:r>
        <w:rPr>
          <w:color w:val="000000"/>
          <w:sz w:val="20"/>
          <w:szCs w:val="20"/>
        </w:rPr>
        <w:t xml:space="preserve">ento článok je súčasťou </w:t>
      </w:r>
      <w:hyperlink r:id="rId3">
        <w:r>
          <w:rPr>
            <w:rStyle w:val="InternetLink"/>
            <w:color w:val="auto"/>
            <w:sz w:val="20"/>
            <w:szCs w:val="20"/>
            <w:u w:val="none"/>
          </w:rPr>
          <w:t>projektu Politiky zamestnanosti</w:t>
        </w:r>
      </w:hyperlink>
      <w:r>
        <w:rPr>
          <w:color w:val="0F0E13"/>
          <w:sz w:val="20"/>
          <w:szCs w:val="20"/>
          <w:u w:val="single"/>
        </w:rPr>
        <w:t xml:space="preserve"> </w:t>
      </w:r>
      <w:r>
        <w:rPr>
          <w:color w:val="000000"/>
          <w:sz w:val="20"/>
          <w:szCs w:val="20"/>
        </w:rPr>
        <w:t xml:space="preserve">realizovaného Inštitútom zamestnanosti. Tento projekt je podporený z Európskeho sociálneho fondu v rámci </w:t>
      </w:r>
      <w:hyperlink r:id="rId4">
        <w:r>
          <w:rPr>
            <w:rStyle w:val="InternetLink"/>
            <w:color w:val="0F0E13"/>
            <w:sz w:val="20"/>
            <w:szCs w:val="20"/>
            <w:u w:val="none"/>
          </w:rPr>
          <w:t>OP EVS</w:t>
        </w:r>
      </w:hyperlink>
      <w:r>
        <w:rPr>
          <w:color w:val="000000"/>
          <w:sz w:val="20"/>
          <w:szCs w:val="20"/>
        </w:rPr>
        <w:t> .</w:t>
      </w:r>
    </w:p>
    <w:p>
      <w:pPr>
        <w:pStyle w:val="TextBody"/>
        <w:spacing w:lineRule="auto" w:line="240"/>
        <w:jc w:val="both"/>
        <w:rPr>
          <w:b/>
          <w:b/>
          <w:bCs/>
          <w:color w:val="000000"/>
          <w:sz w:val="20"/>
          <w:szCs w:val="20"/>
        </w:rPr>
      </w:pPr>
      <w:r>
        <w:rPr/>
      </w:r>
    </w:p>
    <w:p>
      <w:pPr>
        <w:pStyle w:val="TextBody"/>
        <w:spacing w:lineRule="auto" w:line="240"/>
        <w:jc w:val="both"/>
        <w:rPr>
          <w:b/>
          <w:b/>
          <w:bCs/>
          <w:color w:val="000000"/>
          <w:sz w:val="20"/>
          <w:szCs w:val="20"/>
        </w:rPr>
      </w:pPr>
      <w:r>
        <w:rPr/>
      </w:r>
    </w:p>
    <w:p>
      <w:pPr>
        <w:pStyle w:val="TextBody"/>
        <w:spacing w:lineRule="auto" w:line="240"/>
        <w:jc w:val="both"/>
        <w:rPr/>
      </w:pPr>
      <w:r>
        <w:rPr>
          <w:b/>
          <w:bCs/>
          <w:color w:val="000000"/>
          <w:sz w:val="20"/>
          <w:szCs w:val="20"/>
        </w:rPr>
        <w:t>Aktivita:</w:t>
      </w:r>
      <w:r>
        <w:rPr>
          <w:color w:val="000000"/>
          <w:sz w:val="20"/>
          <w:szCs w:val="20"/>
        </w:rPr>
        <w:t xml:space="preserve"> Starnutie populácie</w:t>
      </w:r>
    </w:p>
    <w:p>
      <w:pPr>
        <w:pStyle w:val="TextBody"/>
        <w:spacing w:lineRule="auto" w:line="240"/>
        <w:jc w:val="both"/>
        <w:rPr/>
      </w:pPr>
      <w:r>
        <w:rPr>
          <w:b/>
          <w:bCs/>
          <w:color w:val="000000"/>
          <w:sz w:val="20"/>
          <w:szCs w:val="20"/>
        </w:rPr>
        <w:t>Merateľný ukazovateľ:</w:t>
      </w:r>
      <w:r>
        <w:rPr>
          <w:color w:val="000000"/>
          <w:sz w:val="20"/>
          <w:szCs w:val="20"/>
        </w:rPr>
        <w:t xml:space="preserve"> P0587, </w:t>
      </w:r>
      <w:r>
        <w:rPr>
          <w:color w:val="000000"/>
          <w:sz w:val="20"/>
          <w:szCs w:val="20"/>
        </w:rPr>
        <w:t>marec 2019</w:t>
      </w:r>
    </w:p>
    <w:p>
      <w:pPr>
        <w:pStyle w:val="TextBody"/>
        <w:spacing w:lineRule="auto" w:line="240" w:before="0" w:after="140"/>
        <w:jc w:val="both"/>
        <w:rPr/>
      </w:pPr>
      <w:r>
        <w:rPr>
          <w:rFonts w:cs="Arial"/>
          <w:b/>
          <w:bCs/>
          <w:color w:val="000000"/>
          <w:sz w:val="20"/>
          <w:szCs w:val="20"/>
        </w:rPr>
        <w:t xml:space="preserve">Súvis s projektom: </w:t>
      </w:r>
      <w:r>
        <w:rPr>
          <w:rFonts w:cs="Arial"/>
          <w:bCs/>
          <w:color w:val="000000"/>
          <w:sz w:val="20"/>
          <w:szCs w:val="20"/>
        </w:rPr>
        <w:t xml:space="preserve">Táto analýza súvisí s aktivitou 1. </w:t>
      </w:r>
      <w:r>
        <w:rPr>
          <w:rFonts w:eastAsia="Times New Roman" w:cs="Calibri" w:cstheme="minorHAnsi"/>
          <w:bCs/>
          <w:color w:val="000000"/>
          <w:sz w:val="20"/>
          <w:szCs w:val="20"/>
          <w:shd w:fill="FFFFFF" w:val="clear"/>
          <w:lang w:eastAsia="cs-CZ"/>
        </w:rPr>
        <w:t>Tento materiál je dôležitý pre tvorbu modelu výdavkov, ktoré bude potrebné vynaložiť v dôsledku starnutia populácie. Bez určenia výšky výdavkov, ktoré bude nevyhnutné vymedziť na platy sestier, nie je možné stanoviť udržateľnosť zdravotníckeho systému.</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
        <w:rPr/>
      </w:pPr>
      <w:r>
        <w:rPr>
          <w:rStyle w:val="FootnoteCharacters"/>
        </w:rPr>
        <w:footnoteRef/>
      </w:r>
      <w:r>
        <w:rPr/>
        <w:t xml:space="preserve"> </w:t>
      </w:r>
      <w:hyperlink r:id="rId1">
        <w:r>
          <w:rPr>
            <w:rStyle w:val="InternetLink"/>
          </w:rPr>
          <w:t>https://domov.sme.sk/t/128/strajk-lekarov?page=10</w:t>
        </w:r>
      </w:hyperlink>
    </w:p>
  </w:footnote>
  <w:footnote w:id="3">
    <w:p>
      <w:pPr>
        <w:pStyle w:val="Footnote"/>
        <w:rPr/>
      </w:pPr>
      <w:r>
        <w:rPr>
          <w:rStyle w:val="FootnoteCharacters"/>
        </w:rPr>
        <w:footnoteRef/>
      </w:r>
      <w:r>
        <w:rPr/>
        <w:t xml:space="preserve"> </w:t>
      </w:r>
      <w:r>
        <w:rPr/>
        <w:t>https://www.loz.sk/wp-content/uploads/2017/02/Memorandum-medzi-vladou-SR-a-LOZ.pdf</w:t>
      </w:r>
    </w:p>
  </w:footnote>
  <w:footnote w:id="4">
    <w:p>
      <w:pPr>
        <w:pStyle w:val="Footnote"/>
        <w:rPr/>
      </w:pPr>
      <w:r>
        <w:rPr>
          <w:rStyle w:val="FootnoteCharacters"/>
        </w:rPr>
        <w:footnoteRef/>
      </w:r>
      <w:r>
        <w:rPr/>
        <w:t xml:space="preserve"> </w:t>
      </w:r>
      <w:hyperlink r:id="rId2">
        <w:r>
          <w:rPr>
            <w:rStyle w:val="InternetLink"/>
          </w:rPr>
          <w:t>https://www.epi.sk/zz/2012-62</w:t>
        </w:r>
      </w:hyperlink>
    </w:p>
  </w:footnote>
  <w:footnote w:id="5">
    <w:p>
      <w:pPr>
        <w:pStyle w:val="Footnote"/>
        <w:rPr/>
      </w:pPr>
      <w:r>
        <w:rPr>
          <w:rStyle w:val="FootnoteCharacters"/>
        </w:rPr>
        <w:footnoteRef/>
      </w:r>
      <w:bookmarkStart w:id="2" w:name="__DdeLink__874_235951526"/>
      <w:r>
        <w:rPr/>
        <w:t xml:space="preserve"> </w:t>
      </w:r>
      <w:hyperlink r:id="rId3">
        <w:r>
          <w:rPr>
            <w:rStyle w:val="InternetLink"/>
          </w:rPr>
          <w:t>https://www.nrsr.sk/web/Default.aspx?sid=zakony/zakon&amp;MasterID=3888</w:t>
        </w:r>
      </w:hyperlink>
      <w:bookmarkEnd w:id="2"/>
    </w:p>
  </w:footnote>
  <w:footnote w:id="6">
    <w:p>
      <w:pPr>
        <w:pStyle w:val="Footnote"/>
        <w:rPr/>
      </w:pPr>
      <w:r>
        <w:rPr>
          <w:rStyle w:val="FootnoteCharacters"/>
        </w:rPr>
        <w:footnoteRef/>
      </w:r>
      <w:r>
        <w:rPr/>
        <w:t xml:space="preserve"> </w:t>
      </w:r>
      <w:hyperlink r:id="rId4">
        <w:r>
          <w:rPr>
            <w:rStyle w:val="InternetLink"/>
          </w:rPr>
          <w:t>https://domov.sme.sk/c/6289159/lekari-chcu-zabranit-vyssim-platom-sestier.html</w:t>
        </w:r>
      </w:hyperlink>
    </w:p>
  </w:footnote>
  <w:footnote w:id="7">
    <w:p>
      <w:pPr>
        <w:pStyle w:val="Footnote"/>
        <w:rPr/>
      </w:pPr>
      <w:r>
        <w:rPr>
          <w:rStyle w:val="FootnoteCharacters"/>
        </w:rPr>
        <w:footnoteRef/>
      </w:r>
      <w:hyperlink r:id="rId5">
        <w:r>
          <w:rPr>
            <w:rStyle w:val="InternetLink"/>
          </w:rPr>
          <w:t>http://www.nczisk.sk/Statisticke_vystupy/Zdravotnicka_rocenka/Pages/default.aspx</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7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02d19"/>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97153"/>
    <w:rPr>
      <w:color w:val="0563C1" w:themeColor="hyperlink"/>
      <w:u w:val="single"/>
    </w:rPr>
  </w:style>
  <w:style w:type="character" w:styleId="TextbublinyChar" w:customStyle="1">
    <w:name w:val="Text bubliny Char"/>
    <w:basedOn w:val="DefaultParagraphFont"/>
    <w:link w:val="Textbubliny"/>
    <w:uiPriority w:val="99"/>
    <w:semiHidden/>
    <w:qFormat/>
    <w:rsid w:val="00502d19"/>
    <w:rPr>
      <w:rFonts w:ascii="Segoe UI" w:hAnsi="Segoe UI" w:cs="Segoe UI"/>
      <w:sz w:val="18"/>
      <w:szCs w:val="18"/>
      <w:lang w:val="sk-SK"/>
    </w:rPr>
  </w:style>
  <w:style w:type="character" w:styleId="TextpoznmkypodiarouChar" w:customStyle="1">
    <w:name w:val="Text poznámky pod čiarou Char"/>
    <w:basedOn w:val="DefaultParagraphFont"/>
    <w:link w:val="Textpoznmkypodiarou"/>
    <w:uiPriority w:val="99"/>
    <w:qFormat/>
    <w:rsid w:val="00ce4795"/>
    <w:rPr>
      <w:szCs w:val="20"/>
      <w:lang w:val="sk-SK"/>
    </w:rPr>
  </w:style>
  <w:style w:type="character" w:styleId="FootnoteCharacters" w:customStyle="1">
    <w:name w:val="Footnote Characters"/>
    <w:basedOn w:val="DefaultParagraphFont"/>
    <w:uiPriority w:val="99"/>
    <w:semiHidden/>
    <w:unhideWhenUsed/>
    <w:qFormat/>
    <w:rsid w:val="00eb5279"/>
    <w:rPr>
      <w:vertAlign w:val="superscrip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komentraChar" w:customStyle="1">
    <w:name w:val="Text komentára Char"/>
    <w:basedOn w:val="DefaultParagraphFont"/>
    <w:link w:val="Textkomentra"/>
    <w:uiPriority w:val="99"/>
    <w:semiHidden/>
    <w:qFormat/>
    <w:rPr>
      <w:sz w:val="24"/>
      <w:szCs w:val="24"/>
      <w:lang w:val="sk-SK"/>
    </w:rPr>
  </w:style>
  <w:style w:type="character" w:styleId="Annotationreference">
    <w:name w:val="annotation reference"/>
    <w:basedOn w:val="DefaultParagraphFont"/>
    <w:uiPriority w:val="99"/>
    <w:semiHidden/>
    <w:unhideWhenUsed/>
    <w:qFormat/>
    <w:rPr>
      <w:sz w:val="18"/>
      <w:szCs w:val="18"/>
    </w:rPr>
  </w:style>
  <w:style w:type="character" w:styleId="PredmetkomentraChar" w:customStyle="1">
    <w:name w:val="Predmet komentára Char"/>
    <w:basedOn w:val="TextkomentraChar"/>
    <w:link w:val="Predmetkomentra"/>
    <w:uiPriority w:val="99"/>
    <w:semiHidden/>
    <w:qFormat/>
    <w:rsid w:val="007b5c78"/>
    <w:rPr>
      <w:b/>
      <w:bCs/>
      <w:sz w:val="24"/>
      <w:szCs w:val="20"/>
      <w:lang w:val="sk-SK"/>
    </w:rPr>
  </w:style>
  <w:style w:type="character" w:styleId="Nevyrieenzmienka1" w:customStyle="1">
    <w:name w:val="Nevyriešená zmienka1"/>
    <w:basedOn w:val="DefaultParagraphFont"/>
    <w:uiPriority w:val="99"/>
    <w:semiHidden/>
    <w:unhideWhenUsed/>
    <w:qFormat/>
    <w:rsid w:val="00e97153"/>
    <w:rPr>
      <w:color w:val="605E5C"/>
      <w:shd w:fill="E1DFDD" w:val="clear"/>
    </w:rPr>
  </w:style>
  <w:style w:type="character" w:styleId="FollowedHyperlink">
    <w:name w:val="FollowedHyperlink"/>
    <w:basedOn w:val="DefaultParagraphFont"/>
    <w:uiPriority w:val="99"/>
    <w:semiHidden/>
    <w:unhideWhenUsed/>
    <w:qFormat/>
    <w:rsid w:val="00e97153"/>
    <w:rPr>
      <w:color w:val="954F72" w:themeColor="followedHyperlink"/>
      <w:u w:val="single"/>
    </w:rPr>
  </w:style>
  <w:style w:type="character" w:styleId="Nevyrieenzmienka2" w:customStyle="1">
    <w:name w:val="Nevyriešená zmienka2"/>
    <w:basedOn w:val="DefaultParagraphFont"/>
    <w:uiPriority w:val="99"/>
    <w:semiHidden/>
    <w:unhideWhenUsed/>
    <w:qFormat/>
    <w:rsid w:val="00894dc3"/>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M5177307901923107357msolistparagraph" w:customStyle="1">
    <w:name w:val="m_5177307901923107357msolistparagraph"/>
    <w:basedOn w:val="Normal"/>
    <w:qFormat/>
    <w:rsid w:val="00502d19"/>
    <w:pPr>
      <w:spacing w:lineRule="auto" w:line="240" w:beforeAutospacing="1" w:afterAutospacing="1"/>
    </w:pPr>
    <w:rPr>
      <w:rFonts w:ascii="Times New Roman" w:hAnsi="Times New Roman" w:eastAsia="Times New Roman" w:cs="Times New Roman"/>
      <w:sz w:val="24"/>
      <w:szCs w:val="24"/>
      <w:lang w:val="cs-CZ" w:eastAsia="cs-CZ"/>
    </w:rPr>
  </w:style>
  <w:style w:type="paragraph" w:styleId="BalloonText">
    <w:name w:val="Balloon Text"/>
    <w:basedOn w:val="Normal"/>
    <w:link w:val="TextbublinyChar"/>
    <w:uiPriority w:val="99"/>
    <w:semiHidden/>
    <w:unhideWhenUsed/>
    <w:qFormat/>
    <w:rsid w:val="00502d19"/>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8a2d64"/>
    <w:pPr>
      <w:spacing w:before="0" w:after="160"/>
      <w:ind w:left="720" w:hanging="0"/>
      <w:contextualSpacing/>
    </w:pPr>
    <w:rPr/>
  </w:style>
  <w:style w:type="paragraph" w:styleId="Footnote">
    <w:name w:val="Footnote Text"/>
    <w:basedOn w:val="Normal"/>
    <w:link w:val="TextpoznmkypodiarouChar"/>
    <w:uiPriority w:val="99"/>
    <w:unhideWhenUsed/>
    <w:rsid w:val="00ce4795"/>
    <w:pPr>
      <w:spacing w:lineRule="auto" w:line="240" w:before="0" w:after="0"/>
    </w:pPr>
    <w:rPr>
      <w:sz w:val="20"/>
      <w:szCs w:val="20"/>
    </w:rPr>
  </w:style>
  <w:style w:type="paragraph" w:styleId="NormalWeb">
    <w:name w:val="Normal (Web)"/>
    <w:basedOn w:val="Normal"/>
    <w:uiPriority w:val="99"/>
    <w:semiHidden/>
    <w:unhideWhenUsed/>
    <w:qFormat/>
    <w:rsid w:val="00ce4795"/>
    <w:pPr>
      <w:spacing w:lineRule="auto" w:line="240" w:beforeAutospacing="1" w:afterAutospacing="1"/>
    </w:pPr>
    <w:rPr>
      <w:rFonts w:ascii="Times New Roman" w:hAnsi="Times New Roman" w:eastAsia="Times New Roman" w:cs="Times New Roman"/>
      <w:sz w:val="24"/>
      <w:szCs w:val="24"/>
      <w:lang w:eastAsia="sk-SK"/>
    </w:rPr>
  </w:style>
  <w:style w:type="paragraph" w:styleId="Annotationtext">
    <w:name w:val="annotation text"/>
    <w:basedOn w:val="Normal"/>
    <w:link w:val="TextkomentraChar"/>
    <w:uiPriority w:val="99"/>
    <w:semiHidden/>
    <w:unhideWhenUsed/>
    <w:qFormat/>
    <w:pPr>
      <w:spacing w:lineRule="auto" w:line="240"/>
    </w:pPr>
    <w:rPr>
      <w:sz w:val="24"/>
      <w:szCs w:val="24"/>
    </w:rPr>
  </w:style>
  <w:style w:type="paragraph" w:styleId="Annotationsubject">
    <w:name w:val="annotation subject"/>
    <w:basedOn w:val="Annotationtext"/>
    <w:next w:val="Annotationtext"/>
    <w:link w:val="PredmetkomentraChar"/>
    <w:uiPriority w:val="99"/>
    <w:semiHidden/>
    <w:unhideWhenUsed/>
    <w:qFormat/>
    <w:rsid w:val="007b5c78"/>
    <w:pPr/>
    <w:rPr>
      <w:b/>
      <w:bCs/>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39"/>
    <w:rsid w:val="008d7c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Obyajntabuka51">
    <w:name w:val="Obyčajná tabuľka 51"/>
    <w:basedOn w:val="Normlnatabuka"/>
    <w:uiPriority w:val="45"/>
    <w:rsid w:val="008d7cc1"/>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byajntabuka31">
    <w:name w:val="Obyčajná tabuľka 31"/>
    <w:basedOn w:val="Normlnatabuka"/>
    <w:uiPriority w:val="43"/>
    <w:rsid w:val="008d7cc1"/>
    <w:tblPr>
      <w:tblStyleRowBandSize w:val="1"/>
      <w:tblStyleColBandSize w:val="1"/>
    </w:tblPr>
    <w:tblStylePr w:type="firstRow">
      <w:rPr>
        <w:b/>
        <w:bCs/>
        <w:caps/>
      </w:rPr>
      <w:tblPr/>
      <w:tcPr>
        <w:tcBorders>
          <w:bottom w:val="single" w:color="000000" w:themeColor="text1" w:sz="4" w:space="0"/>
        </w:tcBorders>
      </w:tcPr>
    </w:tblStylePr>
    <w:tblStylePr w:type="lastRow">
      <w:rPr>
        <w:b/>
        <w:bCs/>
        <w:caps/>
      </w:rPr>
      <w:tblPr/>
      <w:tcPr>
        <w:tcBorders>
          <w:top w:val="nil"/>
        </w:tcBorders>
      </w:tcPr>
    </w:tblStylePr>
    <w:tblStylePr w:type="firstCol">
      <w:rPr>
        <w:b/>
        <w:bCs/>
        <w:caps/>
      </w:rPr>
      <w:tblPr/>
      <w:tcPr>
        <w:tcBorders>
          <w:right w:val="single" w:color="000000"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ukasozoznamom3zvraznenie11">
    <w:name w:val="Tabuľka so zoznamom 3 – zvýraznenie 11"/>
    <w:basedOn w:val="Normlnatabuka"/>
    <w:uiPriority w:val="48"/>
    <w:rsid w:val="008d7cc1"/>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customStyle="1" w:styleId="Tabukasozoznamom3zvraznenie31">
    <w:name w:val="Tabuľka so zoznamom 3 – zvýraznenie 31"/>
    <w:basedOn w:val="Normlnatabuka"/>
    <w:uiPriority w:val="48"/>
    <w:rsid w:val="008d7cc1"/>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customStyle="1" w:styleId="Tabukasozoznamom3zvraznenie21">
    <w:name w:val="Tabuľka so zoznamom 3 – zvýraznenie 21"/>
    <w:basedOn w:val="Normlnatabuka"/>
    <w:uiPriority w:val="48"/>
    <w:rsid w:val="008d7cc1"/>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customStyle="1" w:styleId="Tabukasozoznamom1svetlzvraznenie41">
    <w:name w:val="Tabuľka so zoznamom 1 – svetlá – zvýraznenie 41"/>
    <w:basedOn w:val="Normlnatabuka"/>
    <w:uiPriority w:val="46"/>
    <w:rsid w:val="008d7cc1"/>
    <w:tblPr>
      <w:tblStyleRowBandSize w:val="1"/>
      <w:tblStyleColBandSize w:val="1"/>
    </w:tblPr>
    <w:tblStylePr w:type="firstRow">
      <w:rPr>
        <w:b/>
        <w:bCs/>
      </w:rPr>
      <w:tblPr/>
      <w:tcPr>
        <w:tcBorders>
          <w:bottom w:val="single" w:color="FFC000" w:themeColor="accent4" w:sz="4" w:space="0"/>
        </w:tcBorders>
      </w:tcPr>
    </w:tblStylePr>
    <w:tblStylePr w:type="lastRow">
      <w:rPr>
        <w:b/>
        <w:bCs/>
      </w:rPr>
      <w:tblPr/>
      <w:tcPr>
        <w:tcBorders>
          <w:top w:val="single" w:color="FFC000" w:themeColor="accent4" w:sz="4" w:space="0"/>
        </w:tcBorders>
      </w:tc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z.sk/sk/projekty/politiky-zamestnanosti" TargetMode="External"/><Relationship Id="rId4" Type="http://schemas.openxmlformats.org/officeDocument/2006/relationships/hyperlink" Target="http://www.minv.sk/?opevs"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domov.sme.sk/t/128/strajk-lekarov?page=10" TargetMode="External"/><Relationship Id="rId2" Type="http://schemas.openxmlformats.org/officeDocument/2006/relationships/hyperlink" Target="https://www.epi.sk/zz/2012-62" TargetMode="External"/><Relationship Id="rId3" Type="http://schemas.openxmlformats.org/officeDocument/2006/relationships/hyperlink" Target="https://www.nrsr.sk/web/Default.aspx?sid=zakony/zakon&amp;MasterID=3888" TargetMode="External"/><Relationship Id="rId4" Type="http://schemas.openxmlformats.org/officeDocument/2006/relationships/hyperlink" Target="https://domov.sme.sk/c/6289159/lekari-chcu-zabranit-vyssim-platom-sestier.html" TargetMode="External"/><Relationship Id="rId5" Type="http://schemas.openxmlformats.org/officeDocument/2006/relationships/hyperlink" Target="http://www.nczisk.sk/Statisticke_vystupy/Zdravotnicka_rocenka/Pages/default.aspx"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AEFC-4B24-4E41-AFAE-9E8CC8EE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Application>LibreOffice/6.3.4.2.0$Linux_X86_64 LibreOffice_project/30$Build-2</Application>
  <Pages>4</Pages>
  <Words>1057</Words>
  <Characters>6969</Characters>
  <CharactersWithSpaces>7944</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2020-02-07T08:18:00Z</dcterms:created>
  <dc:creator>HP</dc:creator>
  <dc:description/>
  <dc:language>sk-SK</dc:language>
  <cp:lastModifiedBy>Judita Páleníková</cp:lastModifiedBy>
  <cp:lastPrinted>2020-02-03T18:58:00Z</cp:lastPrinted>
  <dcterms:modified xsi:type="dcterms:W3CDTF">2020-02-11T10:08:50Z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